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Wittfeldt</w:t>
      </w:r>
    </w:p>
    <w:p>
      <w:pPr>
        <w:jc w:val="left"/>
      </w:pPr>
      <w:r>
        <w:rPr>
          <w:b/>
        </w:rPr>
        <w:t>Aktenzeichen:</w:t>
      </w:r>
      <w:r>
        <w:t xml:space="preserve"> PS-BKR-2026-0412</w:t>
      </w:r>
    </w:p>
    <w:p>
      <w:pPr>
        <w:jc w:val="left"/>
      </w:pPr>
      <w:r>
        <w:rPr>
          <w:b/>
        </w:rPr>
        <w:t>Datum des Gesprächs:</w:t>
      </w:r>
      <w:r>
        <w:t xml:space="preserve"> 07.04.2026, 10:00 – 12:30 Uhr</w:t>
      </w:r>
    </w:p>
    <w:p>
      <w:pPr>
        <w:jc w:val="left"/>
      </w:pPr>
      <w:r>
        <w:rPr>
          <w:b/>
        </w:rPr>
        <w:t>Ort:</w:t>
      </w:r>
      <w:r>
        <w:t xml:space="preserve"> Kanzlei Pflüger Schoeneberg Bankrecht, Am Markt 14, Bremen</w:t>
      </w:r>
    </w:p>
    <w:p>
      <w:pPr>
        <w:jc w:val="left"/>
      </w:pPr>
      <w:r>
        <w:rPr>
          <w:b/>
        </w:rPr>
        <w:t>Gesprächsleitung:</w:t>
      </w:r>
      <w:r>
        <w:t xml:space="preserve"> Rechtsanwalt Dr. Severin Pflüger</w:t>
      </w:r>
    </w:p>
    <w:p>
      <w:pPr>
        <w:jc w:val="left"/>
      </w:pPr>
      <w:r>
        <w:rPr>
          <w:b/>
        </w:rPr>
        <w:t>Anwesend:</w:t>
      </w:r>
      <w:r>
        <w:t xml:space="preserve"> Daniel Wittfeldt (Auftraggeber, Sohn), Eva-Maria Wittfeldt (Geschädigte)</w:t>
      </w:r>
    </w:p>
    <w:p>
      <w:pPr>
        <w:jc w:val="left"/>
      </w:pPr>
      <w:r>
        <w:rPr>
          <w:b/>
        </w:rPr>
        <w:t>Protokoll:</w:t>
      </w:r>
      <w:r>
        <w:t xml:space="preserve"> Henriette Böckmann (RA-Fachangestellte)</w:t>
      </w:r>
    </w:p>
    <w:p/>
    <w:p>
      <w:pPr>
        <w:pStyle w:val="Heading2"/>
      </w:pPr>
      <w:r>
        <w:rPr>
          <w:rFonts w:ascii="Times New Roman" w:hAnsi="Times New Roman"/>
        </w:rPr>
        <w:t>1. Vorstellung und Ausgangssituation</w:t>
      </w:r>
    </w:p>
    <w:p>
      <w:pPr>
        <w:jc w:val="left"/>
      </w:pPr>
      <w:r>
        <w:t>Daniel Wittfeldt (38 Jahre, Informatiker, Bremer Software AG) berichtet, er habe am 02.04.2026 bei einem Besuch bei seiner Mutter zufällig Kontoauszüge der Sparkasse Bremen auf dem Küchentisch gesehen. Sieben Überweisungen ins Ausland in einem Zeitraum von September 2024 bis März 2025 mit einem Gesamtvolumen von 387.420 EUR hätten ihn sofort alarmiert. Seine Mutter Eva-Maria Wittfeldt (64 Jahre, vorzeitig pensionierte Diplom-Ingenieurin) habe zunächst abgewiegelt und erklärt, sie vertraue dem System und ihrem Berater Robert Volkmann.</w:t>
      </w:r>
    </w:p>
    <w:p>
      <w:pPr>
        <w:jc w:val="left"/>
      </w:pPr>
      <w:r>
        <w:t>Eva-Maria Wittfeldt ist nach eigenen Angaben seit 2002 berentet. Hintergrund: Die Schließung der Vulkan-Werft Bremen 2002 habe zum Verlust ihres Arbeitsplatzes als Ingenieurin im Schiffbau geführt. Sie habe anschließend ARGE-Leistungen bezogen und sei schließlich vorzeitig in Erwerbsminderungsrente gegangen. Ihr monatliches Einkommen betrage ca. 980 EUR (EM-Rente) sowie einen geringen Versorgungsausgleich. Sie lebe in einer abbezahlten Eigentumswohnung in Bremen-Vegesack.</w:t>
      </w:r>
    </w:p>
    <w:p/>
    <w:p>
      <w:pPr>
        <w:pStyle w:val="Heading2"/>
      </w:pPr>
      <w:r>
        <w:rPr>
          <w:rFonts w:ascii="Times New Roman" w:hAnsi="Times New Roman"/>
        </w:rPr>
        <w:t>2. Herkunft der überwiesenen Gelder</w:t>
      </w:r>
    </w:p>
    <w:p>
      <w:pPr>
        <w:jc w:val="left"/>
      </w:pPr>
      <w:r>
        <w:t>Frau Wittfeldt erläutert die Herkunft der 387.420 EUR:</w:t>
      </w:r>
    </w:p>
    <w:p>
      <w:pPr>
        <w:pStyle w:val="ListBullet"/>
      </w:pPr>
      <w:r>
        <w:rPr>
          <w:b/>
        </w:rPr>
        <w:t>Erbschaft nach Tante Hildegard Wittfeldt</w:t>
      </w:r>
      <w:r>
        <w:t xml:space="preserve"> (verstorben August 2024): ca. 120.000 EUR Bankguthaben, ausgezahlt September 2024.</w:t>
      </w:r>
    </w:p>
    <w:p>
      <w:pPr>
        <w:pStyle w:val="ListBullet"/>
      </w:pPr>
      <w:r>
        <w:rPr>
          <w:b/>
        </w:rPr>
        <w:t>Riester-Renten-Auflösung:</w:t>
      </w:r>
      <w:r>
        <w:t xml:space="preserve"> Frau Wittfeldt hat ihren Riester-Vertrag (Allianz) vorzeitig aufgelöst; Auszahlungsbetrag nach Rückzahlung der Förderung und Versteuerung: ca. 52.000 EUR (Dezember 2024).</w:t>
      </w:r>
    </w:p>
    <w:p>
      <w:pPr>
        <w:pStyle w:val="ListBullet"/>
      </w:pPr>
      <w:r>
        <w:rPr>
          <w:b/>
        </w:rPr>
        <w:t>Hypothekendarlehen Sparkasse Bremen:</w:t>
      </w:r>
      <w:r>
        <w:t xml:space="preserve"> 75.000 EUR, aufgenommen Januar 2025 unter dem Vorwand der Gebäudesanierung; tatsächlich vollständig an CryptoFutureMax weitergeleitet.</w:t>
      </w:r>
    </w:p>
    <w:p>
      <w:pPr>
        <w:pStyle w:val="ListBullet"/>
      </w:pPr>
      <w:r>
        <w:rPr>
          <w:b/>
        </w:rPr>
        <w:t>Restliches Sparvermögen:</w:t>
      </w:r>
      <w:r>
        <w:t xml:space="preserve"> ca. 140.420 EUR aus verschiedenen Sparkonten und dem Girokonto.</w:t>
      </w:r>
    </w:p>
    <w:p/>
    <w:p>
      <w:pPr>
        <w:pStyle w:val="Heading2"/>
      </w:pPr>
      <w:r>
        <w:rPr>
          <w:rFonts w:ascii="Times New Roman" w:hAnsi="Times New Roman"/>
        </w:rPr>
        <w:t>3. Ablauf der Betrugsmasche (Darstellung Frau Wittfeldt)</w:t>
      </w:r>
    </w:p>
    <w:p>
      <w:pPr>
        <w:jc w:val="left"/>
      </w:pPr>
      <w:r>
        <w:t>Frau Wittfeldt schildert: Sie habe über Facebook einen Beitrag gesehen, in dem Menschen von hohen Krypto-Gewinnen berichteten. Nach Klick auf den Link sei sie auf einer professionell wirkenden Website gelandet. „Robert Volkmann" habe sich als freundlicher, deutschsprachiger Berater vorgestellt und ihr erklärt, wie „sichere USDT-Stablecoins" ihr Erspartes vermehren würden.</w:t>
      </w:r>
    </w:p>
    <w:p>
      <w:pPr>
        <w:jc w:val="left"/>
      </w:pPr>
      <w:r>
        <w:t>Das Dashboard habe täglich aktuelle „Trading-Reports" gezeigt; die angeblichen Gewinne hätten zeitweise über 23.500 EUR pro Monat betragen. Sie sei von Volkmann regelmäßig per WhatsApp und E-Mail kontaktiert worden; dieser habe immer eine Erklärung gehabt, warum Auszahlungen nicht möglich seien (Compliance, Steuern, AML-Kaution).</w:t>
      </w:r>
    </w:p>
    <w:p>
      <w:pPr>
        <w:jc w:val="left"/>
      </w:pPr>
      <w:r>
        <w:rPr>
          <w:b/>
        </w:rPr>
        <w:t>Psychologische Dimension:</w:t>
      </w:r>
      <w:r>
        <w:t xml:space="preserve"> Dr. Pflüger notiert, dass Frau Wittfeldt erkennbar emotional belastet ist. Sie schämt sich, gibt an, „dumm gewesen" zu sein, und fragt mehrfach, ob sie strafrechtlich verfolgt werden könne. Es wird klargestellt, dass sie als Opfer gilt. Die Hinzuziehung eines psychiatrischen Gutachters zur Frage der Einsichtsfähigkeit und etwaiger kognitiver Vulnerabilität wird angesprochen (→ Aktenstück 15).</w:t>
      </w:r>
    </w:p>
    <w:p/>
    <w:p>
      <w:pPr>
        <w:pStyle w:val="Heading2"/>
      </w:pPr>
      <w:r>
        <w:rPr>
          <w:rFonts w:ascii="Times New Roman" w:hAnsi="Times New Roman"/>
        </w:rPr>
        <w:t>4. Rechtliche Erstbewertung durch Dr. Pflüger (vorläufig)</w:t>
      </w:r>
    </w:p>
    <w:p>
      <w:pPr>
        <w:pStyle w:val="Heading3"/>
      </w:pPr>
      <w:r>
        <w:rPr>
          <w:rFonts w:ascii="Times New Roman" w:hAnsi="Times New Roman"/>
        </w:rPr>
        <w:t>4.1 Strafrecht</w:t>
      </w:r>
    </w:p>
    <w:p>
      <w:pPr>
        <w:pStyle w:val="ListBullet"/>
      </w:pPr>
      <w:r>
        <w:t>§ 263 StGB (Betrug) liegt nahe: Täuschung über Existenz und Seriosität der Handelsplattform, Irrtumserregung bei EMW, Vermögensverfügung (Überweisungen), Schaden 387.420 EUR.</w:t>
      </w:r>
    </w:p>
    <w:p>
      <w:pPr>
        <w:pStyle w:val="ListBullet"/>
      </w:pPr>
      <w:r>
        <w:t>Qualifikation § 263 Abs. 3 Nr. 1 StGB (gewerbsmäßiger Bandenbetrug) zu prüfen; angesichts des systematischen Vorgehens wahrscheinlich.</w:t>
      </w:r>
    </w:p>
    <w:p>
      <w:pPr>
        <w:pStyle w:val="ListBullet"/>
      </w:pPr>
      <w:r>
        <w:t>Strafanzeige bei Polizei Bremen ZKD (Zentrale Kriminalinspektion Digitale Kriminalität) zu erstatten.</w:t>
      </w:r>
    </w:p>
    <w:p>
      <w:pPr>
        <w:pStyle w:val="Heading3"/>
      </w:pPr>
      <w:r>
        <w:rPr>
          <w:rFonts w:ascii="Times New Roman" w:hAnsi="Times New Roman"/>
        </w:rPr>
        <w:t>4.2 Zivilrecht – Empfängerbanken</w:t>
      </w:r>
    </w:p>
    <w:p>
      <w:pPr>
        <w:pStyle w:val="ListBullet"/>
      </w:pPr>
      <w:r>
        <w:t>§ 675u BGB: Erstattungsanspruch bei nicht autorisierten Zahlungsvorgängen gegen die Sparkasse als Zahlungsdienstleister; allerdings sind die Überweisungen von EMW selbst autorisiert worden → primär keine unautorisierte Zahlung.</w:t>
      </w:r>
    </w:p>
    <w:p>
      <w:pPr>
        <w:pStyle w:val="ListBullet"/>
      </w:pPr>
      <w:r>
        <w:t>Gleichwohl: Schadensersatzansprüche nach § 675v Abs. 3 BGB (grob fahrlässige Verletzung der Sorgfaltspflichten durch Sparkasse?) sowie Mitwirkungspflichten nach §§ 25h ff. KWG (Verdachtsmeldepflicht) zu prüfen.</w:t>
      </w:r>
    </w:p>
    <w:p>
      <w:pPr>
        <w:pStyle w:val="ListBullet"/>
      </w:pPr>
      <w:r>
        <w:t>Bereicherungsrechtliche Ansprüche gegen Empfängerbanken (§ 812 BGB) möglicherweise durch Gutgläubigkeit gesperrt.</w:t>
      </w:r>
    </w:p>
    <w:p>
      <w:pPr>
        <w:pStyle w:val="Heading3"/>
      </w:pPr>
      <w:r>
        <w:rPr>
          <w:rFonts w:ascii="Times New Roman" w:hAnsi="Times New Roman"/>
        </w:rPr>
        <w:t>4.3 WpHG / Beratungspflichten der Sparkasse</w:t>
      </w:r>
    </w:p>
    <w:p>
      <w:pPr>
        <w:pStyle w:val="ListBullet"/>
      </w:pPr>
      <w:r>
        <w:t>Sieben ungewöhnliche Auslandsüberweisungen an nicht bekannte Gegenparteien, teils in Drittstaaten; Muster für Money-Mule-Überweisungen erkennbar.</w:t>
      </w:r>
    </w:p>
    <w:p>
      <w:pPr>
        <w:pStyle w:val="ListBullet"/>
      </w:pPr>
      <w:r>
        <w:t>Prüfung, ob Sparkasse Bremen ihre Pflichten aus § 25h KWG (Pflicht zur Verdachtsmeldung nach GwG) und aus §§ 63 ff. WpHG (Anlageberatungspflichten bei konkludentem Beratungsauftrag) verletzt hat.</w:t>
      </w:r>
    </w:p>
    <w:p>
      <w:pPr>
        <w:pStyle w:val="Heading3"/>
      </w:pPr>
      <w:r>
        <w:rPr>
          <w:rFonts w:ascii="Times New Roman" w:hAnsi="Times New Roman"/>
        </w:rPr>
        <w:t>4.4 Kreditkündigung</w:t>
      </w:r>
    </w:p>
    <w:p>
      <w:pPr>
        <w:pStyle w:val="ListBullet"/>
      </w:pPr>
      <w:r>
        <w:t>Kündigung durch Sparkasse nach § 490 BGB; zu prüfen, ob Voraussetzungen (wesentliche Verschlechterung der Vermögensverhältnisse) in dieser Form vorlagen oder ob die Kündigung wegen Mitverschulden der Sparkasse unwirksam ist.</w:t>
      </w:r>
    </w:p>
    <w:p>
      <w:pPr>
        <w:pStyle w:val="Heading3"/>
      </w:pPr>
      <w:r>
        <w:rPr>
          <w:rFonts w:ascii="Times New Roman" w:hAnsi="Times New Roman"/>
        </w:rPr>
        <w:t>4.5 MiCA / Stablecoin</w:t>
      </w:r>
    </w:p>
    <w:p>
      <w:pPr>
        <w:pStyle w:val="ListBullet"/>
      </w:pPr>
      <w:r>
        <w:t>CryptoFutureMax bewarb USDT-Stablecoins; Prüfung, ob Art. 16 MiCA (Zulassungspflicht für E-Money-Token-Emittenten) oder Annexregelungen für Asset-Referenced Tokens verletzt wurden.</w:t>
      </w:r>
    </w:p>
    <w:p>
      <w:pPr>
        <w:pStyle w:val="ListBullet"/>
      </w:pPr>
      <w:r>
        <w:t>BaFin-Anzeige zu erstatten.</w:t>
      </w:r>
    </w:p>
    <w:p>
      <w:pPr>
        <w:pStyle w:val="Heading3"/>
      </w:pPr>
      <w:r>
        <w:rPr>
          <w:rFonts w:ascii="Times New Roman" w:hAnsi="Times New Roman"/>
        </w:rPr>
        <w:t>4.6 Schufa</w:t>
      </w:r>
    </w:p>
    <w:p>
      <w:pPr>
        <w:pStyle w:val="ListBullet"/>
      </w:pPr>
      <w:r>
        <w:t>Schufa-Eintrag 71.380 EUR (Kreditforderung Sparkasse); Prüfung, ob Eintrag rechtmäßig, insbesondere ob die der Forderung zugrundeliegende Kreditkündigung wirksam ist.</w:t>
      </w:r>
    </w:p>
    <w:p/>
    <w:p>
      <w:pPr>
        <w:pStyle w:val="Heading2"/>
      </w:pPr>
      <w:r>
        <w:rPr>
          <w:rFonts w:ascii="Times New Roman" w:hAnsi="Times New Roman"/>
        </w:rPr>
        <w:t>5. Beauftragung und nächste Schritte</w:t>
      </w:r>
    </w:p>
    <w:p>
      <w:pPr>
        <w:jc w:val="left"/>
      </w:pPr>
      <w:r>
        <w:t>Frau Eva-Maria Wittfeldt und Daniel Wittfeldt erteilen Dr. Pflüger umfassende Vollmacht (liegt bei). Folgende Schritte werden beauftragt:</w:t>
      </w:r>
    </w:p>
    <w:p>
      <w:pPr>
        <w:pStyle w:val="ListNumber"/>
      </w:pPr>
      <w:r>
        <w:t>Vollständige Kontoauszüge und alle E-Mails (inkl. Header) von CryptoFutureMax durch Daniel Wittfeldt beschaffen.</w:t>
      </w:r>
    </w:p>
    <w:p>
      <w:pPr>
        <w:pStyle w:val="ListNumber"/>
      </w:pPr>
      <w:r>
        <w:t>Strafanzeige bei Polizei Bremen ZKD (noch diese Woche).</w:t>
      </w:r>
    </w:p>
    <w:p>
      <w:pPr>
        <w:pStyle w:val="ListNumber"/>
      </w:pPr>
      <w:r>
        <w:t>BaFin-Anzeige.</w:t>
      </w:r>
    </w:p>
    <w:p>
      <w:pPr>
        <w:pStyle w:val="ListNumber"/>
      </w:pPr>
      <w:r>
        <w:t>Widerspruch gegen Kreditkündigung Sparkasse.</w:t>
      </w:r>
    </w:p>
    <w:p>
      <w:pPr>
        <w:pStyle w:val="ListNumber"/>
      </w:pPr>
      <w:r>
        <w:t>Schufa-Löschungsbegehren.</w:t>
      </w:r>
    </w:p>
    <w:p>
      <w:pPr>
        <w:pStyle w:val="ListNumber"/>
      </w:pPr>
      <w:r>
        <w:t>Prüfung PKH-Antrag für Hauptklage LG Bremen.</w:t>
      </w:r>
    </w:p>
    <w:p/>
    <w:p>
      <w:pPr>
        <w:pStyle w:val="Heading2"/>
      </w:pPr>
      <w:r>
        <w:rPr>
          <w:rFonts w:ascii="Times New Roman" w:hAnsi="Times New Roman"/>
        </w:rPr>
        <w:t>6. Honorarvereinbarung</w:t>
      </w:r>
    </w:p>
    <w:p>
      <w:pPr>
        <w:jc w:val="left"/>
      </w:pPr>
      <w:r>
        <w:t>Stundensatz Dr. Pflüger: 350 EUR zzgl. MwSt.</w:t>
      </w:r>
    </w:p>
    <w:p>
      <w:pPr>
        <w:jc w:val="left"/>
      </w:pPr>
      <w:r>
        <w:t>Vorschuss: 3.500 EUR (bereits eingegangen am 09.04.2026).</w:t>
      </w:r>
    </w:p>
    <w:p>
      <w:pPr>
        <w:jc w:val="left"/>
      </w:pPr>
      <w:r>
        <w:t>Abrechnung: monatlich nach RVG / vereinbartem Stundensatz.</w:t>
      </w:r>
    </w:p>
    <w:p>
      <w:pPr>
        <w:jc w:val="left"/>
      </w:pPr>
      <w:r>
        <w:t>PKH-Antrag für Klageverfahren wird gestellt.</w:t>
      </w:r>
    </w:p>
    <w:p/>
    <w:p>
      <w:pPr>
        <w:jc w:val="left"/>
      </w:pPr>
      <w:r>
        <w:rPr>
          <w:i/>
        </w:rPr>
        <w:t>Kanzleinotiz erstellt: 07.04.2026 · H. Böckmann · Geprüft: Dr. S. Pflüger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Severin Pflüger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RECHTSANWALT DR. SEVERIN PFLÜGER</w:t>
    </w:r>
  </w:p>
  <w:p>
    <w:pPr>
      <w:jc w:val="left"/>
      <w:pBdr>
        <w:bottom w:val="single" w:sz="8" w:space="2" w:color="1F3864"/>
      </w:pBdr>
    </w:pPr>
    <w:r>
      <w:rPr>
        <w:rFonts w:ascii="Times New Roman" w:hAnsi="Times New Roman"/>
        <w:color w:val="6B6B66"/>
        <w:sz w:val="16"/>
      </w:rPr>
      <w:t>Rechtsanwaltskanzlei · Aktenzeichen: PS-BKR-2026-0412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