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Strafanzeige gegen Unbekannt – Polizei Bremen, ZKD AG Cybercrime</w:t>
      </w:r>
    </w:p>
    <w:p>
      <w:pPr>
        <w:jc w:val="left"/>
      </w:pPr>
      <w:r>
        <w:rPr>
          <w:b/>
        </w:rPr>
        <w:t>An:</w:t>
      </w:r>
    </w:p>
    <w:p>
      <w:pPr>
        <w:jc w:val="left"/>
      </w:pPr>
      <w:r>
        <w:t>Polizei Bremen</w:t>
      </w:r>
    </w:p>
    <w:p>
      <w:pPr>
        <w:jc w:val="left"/>
      </w:pPr>
      <w:r>
        <w:t>Zentrale Kriminalinspektion – AG Digitale Kriminalität (ZKD)</w:t>
      </w:r>
    </w:p>
    <w:p>
      <w:pPr>
        <w:jc w:val="left"/>
      </w:pPr>
      <w:r>
        <w:t>Postfach / Einlaufstelle: Kriminalwache Bremen, In der Vahr 76, 28329 Bremen</w:t>
      </w:r>
    </w:p>
    <w:p>
      <w:pPr>
        <w:jc w:val="left"/>
      </w:pPr>
      <w:r>
        <w:rPr>
          <w:b/>
        </w:rPr>
        <w:t>Von:</w:t>
      </w:r>
    </w:p>
    <w:p>
      <w:pPr>
        <w:jc w:val="left"/>
      </w:pPr>
      <w:r>
        <w:t>Kanzlei Pflüger Schoeneberg Bankrecht</w:t>
      </w:r>
    </w:p>
    <w:p>
      <w:pPr>
        <w:jc w:val="left"/>
      </w:pPr>
      <w:r>
        <w:t>Am Markt 14 · 28195 Bremen</w:t>
      </w:r>
    </w:p>
    <w:p>
      <w:pPr>
        <w:jc w:val="left"/>
      </w:pPr>
      <w:r>
        <w:t>Tel.: 0421 / 33 88 20-0</w:t>
      </w:r>
    </w:p>
    <w:p>
      <w:pPr>
        <w:jc w:val="left"/>
      </w:pPr>
      <w:r>
        <w:t>Fax: 0421 / 33 88 20-99</w:t>
      </w:r>
    </w:p>
    <w:p>
      <w:pPr>
        <w:jc w:val="left"/>
      </w:pPr>
      <w:r>
        <w:rPr>
          <w:b/>
        </w:rPr>
        <w:t>Datum:</w:t>
      </w:r>
      <w:r>
        <w:t xml:space="preserve"> 08.04.2026</w:t>
      </w:r>
    </w:p>
    <w:p>
      <w:pPr>
        <w:jc w:val="left"/>
      </w:pPr>
      <w:r>
        <w:rPr>
          <w:b/>
        </w:rPr>
        <w:t>Polizeiaktenzeichen (erteilt):</w:t>
      </w:r>
      <w:r>
        <w:t xml:space="preserve"> ZD 3001 UJs 8841/26</w:t>
      </w:r>
    </w:p>
    <w:p/>
    <w:p>
      <w:pPr>
        <w:pStyle w:val="Heading2"/>
      </w:pPr>
      <w:r>
        <w:rPr>
          <w:rFonts w:ascii="Times New Roman" w:hAnsi="Times New Roman"/>
        </w:rPr>
        <w:t>Strafanzeige</w:t>
      </w:r>
    </w:p>
    <w:p>
      <w:pPr>
        <w:jc w:val="left"/>
      </w:pPr>
      <w:r>
        <w:t>gemäß §§ 158, 161 StPO erstatten wir im Namen unserer Mandantin</w:t>
      </w:r>
    </w:p>
    <w:p>
      <w:pPr>
        <w:jc w:val="left"/>
      </w:pPr>
      <w:r>
        <w:rPr>
          <w:b/>
        </w:rPr>
        <w:t>Frau Eva-Maria Wittfeldt</w:t>
      </w:r>
    </w:p>
    <w:p>
      <w:pPr>
        <w:jc w:val="left"/>
      </w:pPr>
      <w:r>
        <w:t>geb. 14.03.1962</w:t>
      </w:r>
    </w:p>
    <w:p>
      <w:pPr>
        <w:jc w:val="left"/>
      </w:pPr>
      <w:r>
        <w:t>Kiefernstraße 17, 28757 Bremen</w:t>
      </w:r>
    </w:p>
    <w:p>
      <w:pPr>
        <w:jc w:val="left"/>
      </w:pPr>
      <w:r>
        <w:t>vertreten durch ihren Sohn und Bevollmächtigten</w:t>
      </w:r>
    </w:p>
    <w:p>
      <w:pPr>
        <w:jc w:val="left"/>
      </w:pPr>
      <w:r>
        <w:rPr>
          <w:b/>
        </w:rPr>
        <w:t>Daniel Wittfeldt</w:t>
      </w:r>
    </w:p>
    <w:p>
      <w:pPr>
        <w:jc w:val="left"/>
      </w:pPr>
      <w:r>
        <w:t>Deichstraße 88, 28757 Bremen</w:t>
      </w:r>
    </w:p>
    <w:p>
      <w:pPr>
        <w:pStyle w:val="Heading3"/>
      </w:pPr>
      <w:r>
        <w:rPr>
          <w:rFonts w:ascii="Times New Roman" w:hAnsi="Times New Roman"/>
        </w:rPr>
        <w:t>Strafanzeige gegen Unbekannt</w:t>
      </w:r>
    </w:p>
    <w:p>
      <w:pPr>
        <w:jc w:val="left"/>
      </w:pPr>
      <w:r>
        <w:t>wegen des Verdachts des</w:t>
      </w:r>
    </w:p>
    <w:p>
      <w:pPr>
        <w:pStyle w:val="ListNumber"/>
      </w:pPr>
      <w:r>
        <w:rPr>
          <w:b/>
        </w:rPr>
        <w:t>Betruges, § 263 StGB</w:t>
      </w:r>
      <w:r>
        <w:t>, ggf. in der Qualifikation als gewerbs- und bandenmäßiger Betrug, § 263 Abs. 3 Nr. 1 StGB,</w:t>
      </w:r>
    </w:p>
    <w:p>
      <w:pPr>
        <w:pStyle w:val="ListNumber"/>
      </w:pPr>
      <w:r>
        <w:rPr>
          <w:b/>
        </w:rPr>
        <w:t>Computerbetruges, § 263a StGB</w:t>
      </w:r>
      <w:r>
        <w:t xml:space="preserve"> (manipulierte Online-Handelsplattform),</w:t>
      </w:r>
    </w:p>
    <w:p>
      <w:pPr>
        <w:pStyle w:val="ListNumber"/>
      </w:pPr>
      <w:r>
        <w:rPr>
          <w:b/>
        </w:rPr>
        <w:t>Geldwäsche, § 261 StGB</w:t>
      </w:r>
      <w:r>
        <w:t xml:space="preserve"> (Verschleierung der Herkunft der betrügerisch erlangten Gelder durch internationale Transferketten),</w:t>
      </w:r>
    </w:p>
    <w:p>
      <w:pPr>
        <w:pStyle w:val="ListNumber"/>
      </w:pPr>
      <w:r>
        <w:rPr>
          <w:b/>
        </w:rPr>
        <w:t>Unerlaubten Betreibens von Bankgeschäften, § 54 KWG</w:t>
      </w:r>
      <w:r>
        <w:t xml:space="preserve"> (Entgegennahme von Kundengeldern ohne BaFin-Erlaubnis).</w:t>
      </w:r>
    </w:p>
    <w:p/>
    <w:p>
      <w:pPr>
        <w:pStyle w:val="Heading2"/>
      </w:pPr>
      <w:r>
        <w:rPr>
          <w:rFonts w:ascii="Times New Roman" w:hAnsi="Times New Roman"/>
        </w:rPr>
        <w:t>I. Sachverhalt</w:t>
      </w:r>
    </w:p>
    <w:p>
      <w:pPr>
        <w:pStyle w:val="Heading3"/>
      </w:pPr>
      <w:r>
        <w:rPr>
          <w:rFonts w:ascii="Times New Roman" w:hAnsi="Times New Roman"/>
        </w:rPr>
        <w:t>1. Tatopfer</w:t>
      </w:r>
    </w:p>
    <w:p>
      <w:pPr>
        <w:jc w:val="left"/>
      </w:pPr>
      <w:r>
        <w:t xml:space="preserve">Die Anzeigeerstatterin, Frau Eva-Maria Wittfeldt (64 Jahre, vorzeitig pensionierte Diplom-Ingenieurin, Erwerbsminderungsrente ca. 980 EUR/Monat), wurde ab September 2024 Opfer eines professionell organisierten Cybertrading-Betruges. Der Gesamtschaden beläuft sich auf </w:t>
      </w:r>
      <w:r>
        <w:rPr>
          <w:b/>
        </w:rPr>
        <w:t>387.420,00 EUR</w:t>
      </w:r>
      <w:r>
        <w:t>.</w:t>
      </w:r>
    </w:p>
    <w:p>
      <w:pPr>
        <w:pStyle w:val="Heading3"/>
      </w:pPr>
      <w:r>
        <w:rPr>
          <w:rFonts w:ascii="Times New Roman" w:hAnsi="Times New Roman"/>
        </w:rPr>
        <w:t>2. Tatvorwurf und Tatablauf</w:t>
      </w:r>
    </w:p>
    <w:p>
      <w:pPr>
        <w:jc w:val="left"/>
      </w:pPr>
      <w:r>
        <w:t>Im Zeitraum September 2024 bis März 2025 überwiesen die Täter durch folgendes deliktisches Vorgehen erhebliche Vermögenswerte der Geschädigten ins Ausland:</w:t>
      </w:r>
    </w:p>
    <w:p>
      <w:pPr>
        <w:jc w:val="left"/>
      </w:pPr>
      <w:r>
        <w:rPr>
          <w:b/>
        </w:rPr>
        <w:t>a) Köder (Luring):</w:t>
      </w:r>
    </w:p>
    <w:p>
      <w:pPr>
        <w:jc w:val="left"/>
      </w:pPr>
      <w:r>
        <w:t xml:space="preserve">Über eine bezahlte Facebook-Anzeige wurde Frau Wittfeldt auf die betrügerische Website </w:t>
      </w:r>
      <w:r>
        <w:rPr>
          <w:b/>
        </w:rPr>
        <w:t>CryptoFutureMax.io</w:t>
      </w:r>
      <w:r>
        <w:t xml:space="preserve"> gelockt. Die Täter gaben vor, eine regulierte Kryptowährungs-Handelsplattform mit garantierten Monatsrenditen von 8–18 % zu betreiben.</w:t>
      </w:r>
    </w:p>
    <w:p>
      <w:pPr>
        <w:jc w:val="left"/>
      </w:pPr>
      <w:r>
        <w:rPr>
          <w:b/>
        </w:rPr>
        <w:t>b) Vertrauensaufbau (Relationship Building):</w:t>
      </w:r>
    </w:p>
    <w:p>
      <w:pPr>
        <w:jc w:val="left"/>
      </w:pPr>
      <w:r>
        <w:t>Eine als „Robert Volkmann, Senior Trading Advisor" auftretende Person (mutmaßliches Alias, UK-Mobilnummer +44 7700 900 [REDACTED]) baute über WhatsApp und E-Mail eine persönliche Beziehung zur Geschädigten auf. Sie überließ der Geschädigten Zugang zu einem manipulierten Dashboard, das nicht vorhandene Gewinne anzeigte.</w:t>
      </w:r>
    </w:p>
    <w:p>
      <w:pPr>
        <w:jc w:val="left"/>
      </w:pPr>
      <w:r>
        <w:rPr>
          <w:b/>
        </w:rPr>
        <w:t>c) Tatausführung (Investment Fraud):</w:t>
      </w:r>
    </w:p>
    <w:p>
      <w:pPr>
        <w:jc w:val="left"/>
      </w:pPr>
      <w:r>
        <w:t>Frau Wittfeldt tätigte auf Drängen von „Volkmann" sieben Überweisungen in einer Gesamthöhe von 387.420 EUR auf Konten bei der ZA Bank Ltd. (Hongkong), der Trustless Banking S.A. (Estland) und der Cyprus Popular Bank (Zypern). Die überwiesenen Beträge stammten aus einer Erbschaft, einer Riester-Renten-Auflösung sowie einem Hypothekendarlehen der Sparkasse Bremen.</w:t>
      </w:r>
    </w:p>
    <w:p>
      <w:pPr>
        <w:jc w:val="left"/>
      </w:pPr>
      <w:r>
        <w:rPr>
          <w:b/>
        </w:rPr>
        <w:t>d) Advance-Fee-Strategie:</w:t>
      </w:r>
    </w:p>
    <w:p>
      <w:pPr>
        <w:jc w:val="left"/>
      </w:pPr>
      <w:r>
        <w:t>Als Frau Wittfeldt Auszahlungen verlangte, wurden ihr sukzessive Vorabgebühren abverlangt:</w:t>
      </w:r>
    </w:p>
    <w:p>
      <w:pPr>
        <w:pStyle w:val="ListBullet"/>
      </w:pPr>
      <w:r>
        <w:t>„Steuer-Vorauszahlung" 31.000 EUR (Überweisung 6),</w:t>
      </w:r>
    </w:p>
    <w:p>
      <w:pPr>
        <w:pStyle w:val="ListBullet"/>
      </w:pPr>
      <w:r>
        <w:t>„AML-Kaution" 18.000 EUR (Teil Überweisung 7).</w:t>
      </w:r>
    </w:p>
    <w:p>
      <w:pPr>
        <w:jc w:val="left"/>
      </w:pPr>
      <w:r>
        <w:t>Dabei wurde vorgespiegelt, diese Beträge seien rückerstattungsfähig. In Wahrheit sind sie Teil des Betrugsvorgangs.</w:t>
      </w:r>
    </w:p>
    <w:p>
      <w:pPr>
        <w:jc w:val="left"/>
      </w:pPr>
      <w:r>
        <w:rPr>
          <w:b/>
        </w:rPr>
        <w:t>e) Abtauchen:</w:t>
      </w:r>
    </w:p>
    <w:p>
      <w:pPr>
        <w:jc w:val="left"/>
      </w:pPr>
      <w:r>
        <w:t>Nachdem kein weiteres Geld zu erlangen war, stellten die Täter im März 2025 jegliche Kommunikation ein. Die WhatsApp-Nummer wurde gesperrt, E-Mails prallen zurück, die Website ist weiterhin aktiv, aber der Kundenbereich ist nicht mehr zugänglich.</w:t>
      </w:r>
    </w:p>
    <w:p>
      <w:pPr>
        <w:pStyle w:val="Heading3"/>
      </w:pPr>
      <w:r>
        <w:rPr>
          <w:rFonts w:ascii="Times New Roman" w:hAnsi="Times New Roman"/>
        </w:rPr>
        <w:t>3. Überweisungsdetails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Datum</w:t>
            </w:r>
          </w:p>
        </w:tc>
        <w:tc>
          <w:tcPr>
            <w:tcW w:type="dxa" w:w="1512"/>
          </w:tcPr>
          <w:p>
            <w:r>
              <w:rPr>
                <w:rFonts w:ascii="Times New Roman" w:hAnsi="Times New Roman"/>
                <w:b/>
                <w:sz w:val="20"/>
              </w:rPr>
              <w:t>Betrag</w:t>
            </w:r>
          </w:p>
        </w:tc>
        <w:tc>
          <w:tcPr>
            <w:tcW w:type="dxa" w:w="1512"/>
          </w:tcPr>
          <w:p>
            <w:r>
              <w:rPr>
                <w:rFonts w:ascii="Times New Roman" w:hAnsi="Times New Roman"/>
                <w:b/>
                <w:sz w:val="20"/>
              </w:rPr>
              <w:t>Empfänger</w:t>
            </w:r>
          </w:p>
        </w:tc>
        <w:tc>
          <w:tcPr>
            <w:tcW w:type="dxa" w:w="1512"/>
          </w:tcPr>
          <w:p>
            <w:r>
              <w:rPr>
                <w:rFonts w:ascii="Times New Roman" w:hAnsi="Times New Roman"/>
                <w:b/>
                <w:sz w:val="20"/>
              </w:rPr>
              <w:t>Empfänger-Bank</w:t>
            </w:r>
          </w:p>
        </w:tc>
        <w:tc>
          <w:tcPr>
            <w:tcW w:type="dxa" w:w="1512"/>
          </w:tcPr>
          <w:p>
            <w:r>
              <w:rPr>
                <w:rFonts w:ascii="Times New Roman" w:hAnsi="Times New Roman"/>
                <w:b/>
                <w:sz w:val="20"/>
              </w:rPr>
              <w:t>Land</w:t>
            </w:r>
          </w:p>
        </w:tc>
      </w:tr>
      <w:tr>
        <w:tc>
          <w:tcPr>
            <w:tcW w:type="dxa" w:w="1512"/>
          </w:tcPr>
          <w:p>
            <w:r>
              <w:rPr>
                <w:rFonts w:ascii="Times New Roman" w:hAnsi="Times New Roman"/>
                <w:sz w:val="20"/>
              </w:rPr>
              <w:t>1</w:t>
            </w:r>
          </w:p>
        </w:tc>
        <w:tc>
          <w:tcPr>
            <w:tcW w:type="dxa" w:w="1512"/>
          </w:tcPr>
          <w:p>
            <w:r>
              <w:rPr>
                <w:rFonts w:ascii="Times New Roman" w:hAnsi="Times New Roman"/>
                <w:sz w:val="20"/>
              </w:rPr>
              <w:t>18.09.2024</w:t>
            </w:r>
          </w:p>
        </w:tc>
        <w:tc>
          <w:tcPr>
            <w:tcW w:type="dxa" w:w="1512"/>
          </w:tcPr>
          <w:p>
            <w:r>
              <w:rPr>
                <w:rFonts w:ascii="Times New Roman" w:hAnsi="Times New Roman"/>
                <w:sz w:val="20"/>
              </w:rPr>
              <w:t>38.000 EUR</w:t>
            </w:r>
          </w:p>
        </w:tc>
        <w:tc>
          <w:tcPr>
            <w:tcW w:type="dxa" w:w="1512"/>
          </w:tcPr>
          <w:p>
            <w:r>
              <w:rPr>
                <w:rFonts w:ascii="Times New Roman" w:hAnsi="Times New Roman"/>
                <w:sz w:val="20"/>
              </w:rPr>
              <w:t>CFM Trading Ltd.</w:t>
            </w:r>
          </w:p>
        </w:tc>
        <w:tc>
          <w:tcPr>
            <w:tcW w:type="dxa" w:w="1512"/>
          </w:tcPr>
          <w:p>
            <w:r>
              <w:rPr>
                <w:rFonts w:ascii="Times New Roman" w:hAnsi="Times New Roman"/>
                <w:sz w:val="20"/>
              </w:rPr>
              <w:t>ZA Bank Ltd.</w:t>
            </w:r>
          </w:p>
        </w:tc>
        <w:tc>
          <w:tcPr>
            <w:tcW w:type="dxa" w:w="1512"/>
          </w:tcPr>
          <w:p>
            <w:r>
              <w:rPr>
                <w:rFonts w:ascii="Times New Roman" w:hAnsi="Times New Roman"/>
                <w:sz w:val="20"/>
              </w:rPr>
              <w:t>Hongkong</w:t>
            </w:r>
          </w:p>
        </w:tc>
      </w:tr>
      <w:tr>
        <w:tc>
          <w:tcPr>
            <w:tcW w:type="dxa" w:w="1512"/>
          </w:tcPr>
          <w:p>
            <w:r>
              <w:rPr>
                <w:rFonts w:ascii="Times New Roman" w:hAnsi="Times New Roman"/>
                <w:sz w:val="20"/>
              </w:rPr>
              <w:t>2</w:t>
            </w:r>
          </w:p>
        </w:tc>
        <w:tc>
          <w:tcPr>
            <w:tcW w:type="dxa" w:w="1512"/>
          </w:tcPr>
          <w:p>
            <w:r>
              <w:rPr>
                <w:rFonts w:ascii="Times New Roman" w:hAnsi="Times New Roman"/>
                <w:sz w:val="20"/>
              </w:rPr>
              <w:t>14.10.2024</w:t>
            </w:r>
          </w:p>
        </w:tc>
        <w:tc>
          <w:tcPr>
            <w:tcW w:type="dxa" w:w="1512"/>
          </w:tcPr>
          <w:p>
            <w:r>
              <w:rPr>
                <w:rFonts w:ascii="Times New Roman" w:hAnsi="Times New Roman"/>
                <w:sz w:val="20"/>
              </w:rPr>
              <w:t>42.000 EUR</w:t>
            </w:r>
          </w:p>
        </w:tc>
        <w:tc>
          <w:tcPr>
            <w:tcW w:type="dxa" w:w="1512"/>
          </w:tcPr>
          <w:p>
            <w:r>
              <w:rPr>
                <w:rFonts w:ascii="Times New Roman" w:hAnsi="Times New Roman"/>
                <w:sz w:val="20"/>
              </w:rPr>
              <w:t>Trustless Banking S.A.</w:t>
            </w:r>
          </w:p>
        </w:tc>
        <w:tc>
          <w:tcPr>
            <w:tcW w:type="dxa" w:w="1512"/>
          </w:tcPr>
          <w:p>
            <w:r>
              <w:rPr>
                <w:rFonts w:ascii="Times New Roman" w:hAnsi="Times New Roman"/>
                <w:sz w:val="20"/>
              </w:rPr>
              <w:t>Trustless Banking</w:t>
            </w:r>
          </w:p>
        </w:tc>
        <w:tc>
          <w:tcPr>
            <w:tcW w:type="dxa" w:w="1512"/>
          </w:tcPr>
          <w:p>
            <w:r>
              <w:rPr>
                <w:rFonts w:ascii="Times New Roman" w:hAnsi="Times New Roman"/>
                <w:sz w:val="20"/>
              </w:rPr>
              <w:t>Estland</w:t>
            </w:r>
          </w:p>
        </w:tc>
      </w:tr>
      <w:tr>
        <w:tc>
          <w:tcPr>
            <w:tcW w:type="dxa" w:w="1512"/>
          </w:tcPr>
          <w:p>
            <w:r>
              <w:rPr>
                <w:rFonts w:ascii="Times New Roman" w:hAnsi="Times New Roman"/>
                <w:sz w:val="20"/>
              </w:rPr>
              <w:t>3</w:t>
            </w:r>
          </w:p>
        </w:tc>
        <w:tc>
          <w:tcPr>
            <w:tcW w:type="dxa" w:w="1512"/>
          </w:tcPr>
          <w:p>
            <w:r>
              <w:rPr>
                <w:rFonts w:ascii="Times New Roman" w:hAnsi="Times New Roman"/>
                <w:sz w:val="20"/>
              </w:rPr>
              <w:t>15.11.2024</w:t>
            </w:r>
          </w:p>
        </w:tc>
        <w:tc>
          <w:tcPr>
            <w:tcW w:type="dxa" w:w="1512"/>
          </w:tcPr>
          <w:p>
            <w:r>
              <w:rPr>
                <w:rFonts w:ascii="Times New Roman" w:hAnsi="Times New Roman"/>
                <w:sz w:val="20"/>
              </w:rPr>
              <w:t>58.500 EUR</w:t>
            </w:r>
          </w:p>
        </w:tc>
        <w:tc>
          <w:tcPr>
            <w:tcW w:type="dxa" w:w="1512"/>
          </w:tcPr>
          <w:p>
            <w:r>
              <w:rPr>
                <w:rFonts w:ascii="Times New Roman" w:hAnsi="Times New Roman"/>
                <w:sz w:val="20"/>
              </w:rPr>
              <w:t>Cyprus Popular</w:t>
            </w:r>
          </w:p>
        </w:tc>
        <w:tc>
          <w:tcPr>
            <w:tcW w:type="dxa" w:w="1512"/>
          </w:tcPr>
          <w:p>
            <w:r>
              <w:rPr>
                <w:rFonts w:ascii="Times New Roman" w:hAnsi="Times New Roman"/>
                <w:sz w:val="20"/>
              </w:rPr>
              <w:t>Cyprus Popular Bank</w:t>
            </w:r>
          </w:p>
        </w:tc>
        <w:tc>
          <w:tcPr>
            <w:tcW w:type="dxa" w:w="1512"/>
          </w:tcPr>
          <w:p>
            <w:r>
              <w:rPr>
                <w:rFonts w:ascii="Times New Roman" w:hAnsi="Times New Roman"/>
                <w:sz w:val="20"/>
              </w:rPr>
              <w:t>Zypern</w:t>
            </w:r>
          </w:p>
        </w:tc>
      </w:tr>
      <w:tr>
        <w:tc>
          <w:tcPr>
            <w:tcW w:type="dxa" w:w="1512"/>
          </w:tcPr>
          <w:p>
            <w:r>
              <w:rPr>
                <w:rFonts w:ascii="Times New Roman" w:hAnsi="Times New Roman"/>
                <w:sz w:val="20"/>
              </w:rPr>
              <w:t>4</w:t>
            </w:r>
          </w:p>
        </w:tc>
        <w:tc>
          <w:tcPr>
            <w:tcW w:type="dxa" w:w="1512"/>
          </w:tcPr>
          <w:p>
            <w:r>
              <w:rPr>
                <w:rFonts w:ascii="Times New Roman" w:hAnsi="Times New Roman"/>
                <w:sz w:val="20"/>
              </w:rPr>
              <w:t>18.12.2024</w:t>
            </w:r>
          </w:p>
        </w:tc>
        <w:tc>
          <w:tcPr>
            <w:tcW w:type="dxa" w:w="1512"/>
          </w:tcPr>
          <w:p>
            <w:r>
              <w:rPr>
                <w:rFonts w:ascii="Times New Roman" w:hAnsi="Times New Roman"/>
                <w:sz w:val="20"/>
              </w:rPr>
              <w:t>89.000 EUR</w:t>
            </w:r>
          </w:p>
        </w:tc>
        <w:tc>
          <w:tcPr>
            <w:tcW w:type="dxa" w:w="1512"/>
          </w:tcPr>
          <w:p>
            <w:r>
              <w:rPr>
                <w:rFonts w:ascii="Times New Roman" w:hAnsi="Times New Roman"/>
                <w:sz w:val="20"/>
              </w:rPr>
              <w:t>CFM Trading Ltd.</w:t>
            </w:r>
          </w:p>
        </w:tc>
        <w:tc>
          <w:tcPr>
            <w:tcW w:type="dxa" w:w="1512"/>
          </w:tcPr>
          <w:p>
            <w:r>
              <w:rPr>
                <w:rFonts w:ascii="Times New Roman" w:hAnsi="Times New Roman"/>
                <w:sz w:val="20"/>
              </w:rPr>
              <w:t>ZA Bank Ltd.</w:t>
            </w:r>
          </w:p>
        </w:tc>
        <w:tc>
          <w:tcPr>
            <w:tcW w:type="dxa" w:w="1512"/>
          </w:tcPr>
          <w:p>
            <w:r>
              <w:rPr>
                <w:rFonts w:ascii="Times New Roman" w:hAnsi="Times New Roman"/>
                <w:sz w:val="20"/>
              </w:rPr>
              <w:t>Hongkong</w:t>
            </w:r>
          </w:p>
        </w:tc>
      </w:tr>
      <w:tr>
        <w:tc>
          <w:tcPr>
            <w:tcW w:type="dxa" w:w="1512"/>
          </w:tcPr>
          <w:p>
            <w:r>
              <w:rPr>
                <w:rFonts w:ascii="Times New Roman" w:hAnsi="Times New Roman"/>
                <w:sz w:val="20"/>
              </w:rPr>
              <w:t>5</w:t>
            </w:r>
          </w:p>
        </w:tc>
        <w:tc>
          <w:tcPr>
            <w:tcW w:type="dxa" w:w="1512"/>
          </w:tcPr>
          <w:p>
            <w:r>
              <w:rPr>
                <w:rFonts w:ascii="Times New Roman" w:hAnsi="Times New Roman"/>
                <w:sz w:val="20"/>
              </w:rPr>
              <w:t>24.01.2025</w:t>
            </w:r>
          </w:p>
        </w:tc>
        <w:tc>
          <w:tcPr>
            <w:tcW w:type="dxa" w:w="1512"/>
          </w:tcPr>
          <w:p>
            <w:r>
              <w:rPr>
                <w:rFonts w:ascii="Times New Roman" w:hAnsi="Times New Roman"/>
                <w:sz w:val="20"/>
              </w:rPr>
              <w:t>51.000 EUR</w:t>
            </w:r>
          </w:p>
        </w:tc>
        <w:tc>
          <w:tcPr>
            <w:tcW w:type="dxa" w:w="1512"/>
          </w:tcPr>
          <w:p>
            <w:r>
              <w:rPr>
                <w:rFonts w:ascii="Times New Roman" w:hAnsi="Times New Roman"/>
                <w:sz w:val="20"/>
              </w:rPr>
              <w:t>Trustless Banking S.A.</w:t>
            </w:r>
          </w:p>
        </w:tc>
        <w:tc>
          <w:tcPr>
            <w:tcW w:type="dxa" w:w="1512"/>
          </w:tcPr>
          <w:p>
            <w:r>
              <w:rPr>
                <w:rFonts w:ascii="Times New Roman" w:hAnsi="Times New Roman"/>
                <w:sz w:val="20"/>
              </w:rPr>
              <w:t>Trustless Banking</w:t>
            </w:r>
          </w:p>
        </w:tc>
        <w:tc>
          <w:tcPr>
            <w:tcW w:type="dxa" w:w="1512"/>
          </w:tcPr>
          <w:p>
            <w:r>
              <w:rPr>
                <w:rFonts w:ascii="Times New Roman" w:hAnsi="Times New Roman"/>
                <w:sz w:val="20"/>
              </w:rPr>
              <w:t>Estland</w:t>
            </w:r>
          </w:p>
        </w:tc>
      </w:tr>
      <w:tr>
        <w:tc>
          <w:tcPr>
            <w:tcW w:type="dxa" w:w="1512"/>
          </w:tcPr>
          <w:p>
            <w:r>
              <w:rPr>
                <w:rFonts w:ascii="Times New Roman" w:hAnsi="Times New Roman"/>
                <w:sz w:val="20"/>
              </w:rPr>
              <w:t>6</w:t>
            </w:r>
          </w:p>
        </w:tc>
        <w:tc>
          <w:tcPr>
            <w:tcW w:type="dxa" w:w="1512"/>
          </w:tcPr>
          <w:p>
            <w:r>
              <w:rPr>
                <w:rFonts w:ascii="Times New Roman" w:hAnsi="Times New Roman"/>
                <w:sz w:val="20"/>
              </w:rPr>
              <w:t>11.02.2025</w:t>
            </w:r>
          </w:p>
        </w:tc>
        <w:tc>
          <w:tcPr>
            <w:tcW w:type="dxa" w:w="1512"/>
          </w:tcPr>
          <w:p>
            <w:r>
              <w:rPr>
                <w:rFonts w:ascii="Times New Roman" w:hAnsi="Times New Roman"/>
                <w:sz w:val="20"/>
              </w:rPr>
              <w:t>47.420 EUR</w:t>
            </w:r>
          </w:p>
        </w:tc>
        <w:tc>
          <w:tcPr>
            <w:tcW w:type="dxa" w:w="1512"/>
          </w:tcPr>
          <w:p>
            <w:r>
              <w:rPr>
                <w:rFonts w:ascii="Times New Roman" w:hAnsi="Times New Roman"/>
                <w:sz w:val="20"/>
              </w:rPr>
              <w:t>Trustless Banking S.A.</w:t>
            </w:r>
          </w:p>
        </w:tc>
        <w:tc>
          <w:tcPr>
            <w:tcW w:type="dxa" w:w="1512"/>
          </w:tcPr>
          <w:p>
            <w:r>
              <w:rPr>
                <w:rFonts w:ascii="Times New Roman" w:hAnsi="Times New Roman"/>
                <w:sz w:val="20"/>
              </w:rPr>
              <w:t>Trustless Banking</w:t>
            </w:r>
          </w:p>
        </w:tc>
        <w:tc>
          <w:tcPr>
            <w:tcW w:type="dxa" w:w="1512"/>
          </w:tcPr>
          <w:p>
            <w:r>
              <w:rPr>
                <w:rFonts w:ascii="Times New Roman" w:hAnsi="Times New Roman"/>
                <w:sz w:val="20"/>
              </w:rPr>
              <w:t>Estland</w:t>
            </w:r>
          </w:p>
        </w:tc>
      </w:tr>
      <w:tr>
        <w:tc>
          <w:tcPr>
            <w:tcW w:type="dxa" w:w="1512"/>
          </w:tcPr>
          <w:p>
            <w:r>
              <w:rPr>
                <w:rFonts w:ascii="Times New Roman" w:hAnsi="Times New Roman"/>
                <w:sz w:val="20"/>
              </w:rPr>
              <w:t>7</w:t>
            </w:r>
          </w:p>
        </w:tc>
        <w:tc>
          <w:tcPr>
            <w:tcW w:type="dxa" w:w="1512"/>
          </w:tcPr>
          <w:p>
            <w:r>
              <w:rPr>
                <w:rFonts w:ascii="Times New Roman" w:hAnsi="Times New Roman"/>
                <w:sz w:val="20"/>
              </w:rPr>
              <w:t>07.03.2025</w:t>
            </w:r>
          </w:p>
        </w:tc>
        <w:tc>
          <w:tcPr>
            <w:tcW w:type="dxa" w:w="1512"/>
          </w:tcPr>
          <w:p>
            <w:r>
              <w:rPr>
                <w:rFonts w:ascii="Times New Roman" w:hAnsi="Times New Roman"/>
                <w:sz w:val="20"/>
              </w:rPr>
              <w:t>61.500 EUR</w:t>
            </w:r>
          </w:p>
        </w:tc>
        <w:tc>
          <w:tcPr>
            <w:tcW w:type="dxa" w:w="1512"/>
          </w:tcPr>
          <w:p>
            <w:r>
              <w:rPr>
                <w:rFonts w:ascii="Times New Roman" w:hAnsi="Times New Roman"/>
                <w:sz w:val="20"/>
              </w:rPr>
              <w:t>CFM Trading Ltd.</w:t>
            </w:r>
          </w:p>
        </w:tc>
        <w:tc>
          <w:tcPr>
            <w:tcW w:type="dxa" w:w="1512"/>
          </w:tcPr>
          <w:p>
            <w:r>
              <w:rPr>
                <w:rFonts w:ascii="Times New Roman" w:hAnsi="Times New Roman"/>
                <w:sz w:val="20"/>
              </w:rPr>
              <w:t>ZA Bank Ltd.</w:t>
            </w:r>
          </w:p>
        </w:tc>
        <w:tc>
          <w:tcPr>
            <w:tcW w:type="dxa" w:w="1512"/>
          </w:tcPr>
          <w:p>
            <w:r>
              <w:rPr>
                <w:rFonts w:ascii="Times New Roman" w:hAnsi="Times New Roman"/>
                <w:sz w:val="20"/>
              </w:rPr>
              <w:t>Hongkong</w:t>
            </w:r>
          </w:p>
        </w:tc>
      </w:tr>
      <w:tr>
        <w:tc>
          <w:tcPr>
            <w:tcW w:type="dxa" w:w="1512"/>
          </w:tcPr>
          <w:p>
            <w:r>
              <w:rPr>
                <w:rFonts w:ascii="Times New Roman" w:hAnsi="Times New Roman"/>
                <w:b/>
                <w:sz w:val="20"/>
              </w:rPr>
              <w:t>Σ</w:t>
            </w:r>
          </w:p>
        </w:tc>
        <w:tc>
          <w:tcPr>
            <w:tcW w:type="dxa" w:w="1512"/>
          </w:tcPr>
          <w:p/>
        </w:tc>
        <w:tc>
          <w:tcPr>
            <w:tcW w:type="dxa" w:w="1512"/>
          </w:tcPr>
          <w:p>
            <w:r>
              <w:rPr>
                <w:rFonts w:ascii="Times New Roman" w:hAnsi="Times New Roman"/>
                <w:b/>
                <w:sz w:val="20"/>
              </w:rPr>
              <w:t>387.420 EUR</w:t>
            </w:r>
          </w:p>
        </w:tc>
        <w:tc>
          <w:tcPr>
            <w:tcW w:type="dxa" w:w="1512"/>
          </w:tcPr>
          <w:p/>
        </w:tc>
        <w:tc>
          <w:tcPr>
            <w:tcW w:type="dxa" w:w="1512"/>
          </w:tcPr>
          <w:p/>
        </w:tc>
        <w:tc>
          <w:tcPr>
            <w:tcW w:type="dxa" w:w="1512"/>
          </w:tcPr>
          <w:p/>
        </w:tc>
      </w:tr>
    </w:tbl>
    <w:p/>
    <w:p>
      <w:pPr>
        <w:pStyle w:val="Heading2"/>
      </w:pPr>
      <w:r>
        <w:rPr>
          <w:rFonts w:ascii="Times New Roman" w:hAnsi="Times New Roman"/>
        </w:rPr>
        <w:t>II. Rechtliche Bewertung</w:t>
      </w:r>
    </w:p>
    <w:p>
      <w:pPr>
        <w:pStyle w:val="Heading3"/>
      </w:pPr>
      <w:r>
        <w:rPr>
          <w:rFonts w:ascii="Times New Roman" w:hAnsi="Times New Roman"/>
        </w:rPr>
        <w:t>§ 263 StGB – Betrug</w:t>
      </w:r>
    </w:p>
    <w:p>
      <w:pPr>
        <w:jc w:val="left"/>
      </w:pPr>
      <w:r>
        <w:t>Die Täter täuschten über die Existenz und Seriosität der Handelsplattform, über die Identität des „Beraters Volkmann" sowie über angebliche Gewinnchancen und behördliche Gebührenpflichten. Die Geschädigte irrte sich infolge der Täuschung und leistete Zahlungen (Vermögensverfügung). Der Schaden beträgt 387.420 EUR. Die Qualifikation als gewerbsmäßiger Betrug (§ 263 Abs. 3 Nr. 1 StGB) liegt nahe, da die Tatstruktur auf eine professionelle, dauerhaft betriebene kriminelle Organisation schließen lässt.</w:t>
      </w:r>
    </w:p>
    <w:p>
      <w:pPr>
        <w:pStyle w:val="Heading3"/>
      </w:pPr>
      <w:r>
        <w:rPr>
          <w:rFonts w:ascii="Times New Roman" w:hAnsi="Times New Roman"/>
        </w:rPr>
        <w:t>§ 263a StGB – Computerbetrug</w:t>
      </w:r>
    </w:p>
    <w:p>
      <w:pPr>
        <w:jc w:val="left"/>
      </w:pPr>
      <w:r>
        <w:t>Die manipulierte Dashboard-Oberfläche stellt eine unbefugte Einwirkung auf Datenverarbeitungsvorgänge dar; die angezeigten Portfoliowerte sind evident gefälschte Daten (§ 263a Abs. 1 Alt. 1, 2 StGB).</w:t>
      </w:r>
    </w:p>
    <w:p>
      <w:pPr>
        <w:pStyle w:val="Heading3"/>
      </w:pPr>
      <w:r>
        <w:rPr>
          <w:rFonts w:ascii="Times New Roman" w:hAnsi="Times New Roman"/>
        </w:rPr>
        <w:t>§ 261 StGB – Geldwäsche</w:t>
      </w:r>
    </w:p>
    <w:p>
      <w:pPr>
        <w:jc w:val="left"/>
      </w:pPr>
      <w:r>
        <w:t>Die Täter verschleierten die Herkunft der betrügerisch erlangten Gelder durch Weiterleitung über internationale Konten bei Drittstaatenbanken (Hongkong, Estland, Zypern). Dies erfüllt den Tatbestand der Geldwäsche.</w:t>
      </w:r>
    </w:p>
    <w:p>
      <w:pPr>
        <w:pStyle w:val="Heading3"/>
      </w:pPr>
      <w:r>
        <w:rPr>
          <w:rFonts w:ascii="Times New Roman" w:hAnsi="Times New Roman"/>
        </w:rPr>
        <w:t>§ 54 KWG – Unerlaubtes Bankgeschäft</w:t>
      </w:r>
    </w:p>
    <w:p>
      <w:pPr>
        <w:jc w:val="left"/>
      </w:pPr>
      <w:r>
        <w:t>CryptoFutureMax.io nimmt Kundengelder entgegen, ohne über eine BaFin-Erlaubnis nach § 32 KWG zu verfügen. Eine entsprechende BaFin-Anzeige wird parallel erstattet.</w:t>
      </w:r>
    </w:p>
    <w:p/>
    <w:p>
      <w:pPr>
        <w:pStyle w:val="Heading2"/>
      </w:pPr>
      <w:r>
        <w:rPr>
          <w:rFonts w:ascii="Times New Roman" w:hAnsi="Times New Roman"/>
        </w:rPr>
        <w:t>III. Beweismittel</w:t>
      </w:r>
    </w:p>
    <w:p>
      <w:pPr>
        <w:jc w:val="left"/>
      </w:pPr>
      <w:r>
        <w:t>Folgende Beweismittel werden als Anlagen beigefügt und stehen zur Auswertung bereit:</w:t>
      </w:r>
    </w:p>
    <w:p>
      <w:pPr>
        <w:pStyle w:val="ListNumber"/>
      </w:pPr>
      <w:r>
        <w:t>Kopie der sieben Kontoauszüge der Sparkasse Bremen (Überweisungen 1–7).</w:t>
      </w:r>
    </w:p>
    <w:p>
      <w:pPr>
        <w:pStyle w:val="ListNumber"/>
      </w:pPr>
      <w:r>
        <w:t>E-Mail-Ausdrucke mit vollständigen Headern (15 E-Mails, davon 12 von reports/support/compliance@cryptofuturemax.io).</w:t>
      </w:r>
    </w:p>
    <w:p>
      <w:pPr>
        <w:pStyle w:val="ListNumber"/>
      </w:pPr>
      <w:r>
        <w:t>WhatsApp-Screenshots (23 Nachrichten „Robert Volkmann", Zeitraum Sept. 2024 – März 2025).</w:t>
      </w:r>
    </w:p>
    <w:p>
      <w:pPr>
        <w:pStyle w:val="ListNumber"/>
      </w:pPr>
      <w:r>
        <w:t>Screenshot des CryptoFutureMax.io-Dashboards (Stand 15.03.2025).</w:t>
      </w:r>
    </w:p>
    <w:p>
      <w:pPr>
        <w:pStyle w:val="ListNumber"/>
      </w:pPr>
      <w:r>
        <w:t>WHOIS-Abfrage cryptofuturemax.io (Domain, Registrar, Hosting-IP).</w:t>
      </w:r>
    </w:p>
    <w:p>
      <w:pPr>
        <w:pStyle w:val="ListNumber"/>
      </w:pPr>
      <w:r>
        <w:t>Anmeldedaten und Zugangs-Tokens (für forensische Analyse bereitgestellt).</w:t>
      </w:r>
    </w:p>
    <w:p>
      <w:pPr>
        <w:pStyle w:val="ListNumber"/>
      </w:pPr>
      <w:r>
        <w:t>Eidesstattliche Erklärung Frau Eva-Maria Wittfeldt (06.04.2026).</w:t>
      </w:r>
    </w:p>
    <w:p/>
    <w:p>
      <w:pPr>
        <w:pStyle w:val="Heading2"/>
      </w:pPr>
      <w:r>
        <w:rPr>
          <w:rFonts w:ascii="Times New Roman" w:hAnsi="Times New Roman"/>
        </w:rPr>
        <w:t>IV. Antrag</w:t>
      </w:r>
    </w:p>
    <w:p>
      <w:pPr>
        <w:jc w:val="left"/>
      </w:pPr>
      <w:r>
        <w:t>Wir stellen Strafantrag nach § 77 StGB und beantragen:</w:t>
      </w:r>
    </w:p>
    <w:p>
      <w:pPr>
        <w:pStyle w:val="ListNumber"/>
      </w:pPr>
      <w:r>
        <w:t>Einleitung eines Ermittlungsverfahrens gegen die unbekannten Täter.</w:t>
      </w:r>
    </w:p>
    <w:p>
      <w:pPr>
        <w:pStyle w:val="ListNumber"/>
      </w:pPr>
      <w:r>
        <w:t>Identitätsfeststellung des „Robert Volkmann" über UK-Mobilfunkbetreiber (MLAT-Ersuchen UK/Europol).</w:t>
      </w:r>
    </w:p>
    <w:p>
      <w:pPr>
        <w:pStyle w:val="ListNumber"/>
      </w:pPr>
      <w:r>
        <w:t>Sicherungsanfragen an ZA Bank Ltd. (Hongkong), Trustless Banking S.A. (Estland) sowie die Insolvenzmasse der Cyprus Popular Bank (Rechtshilfeersuchen über Interpol/Eurojust).</w:t>
      </w:r>
    </w:p>
    <w:p>
      <w:pPr>
        <w:pStyle w:val="ListNumber"/>
      </w:pPr>
      <w:r>
        <w:t>Sicherstellung und Auswertung der Domains/Server cryptofuturemax.io (Rechtshilfeersuchen Niederlande/Serverius B.V.).</w:t>
      </w:r>
    </w:p>
    <w:p>
      <w:pPr>
        <w:pStyle w:val="ListNumber"/>
      </w:pPr>
      <w:r>
        <w:t>Benachrichtigung Europol EC3 (Cybercrime Centre) und BKA.</w:t>
      </w:r>
    </w:p>
    <w:p/>
    <w:p>
      <w:pPr>
        <w:jc w:val="left"/>
      </w:pPr>
      <w:r>
        <w:rPr>
          <w:b/>
        </w:rPr>
        <w:t>Bremen, 08. April 2026</w:t>
      </w:r>
    </w:p>
    <w:p>
      <w:pPr>
        <w:jc w:val="left"/>
      </w:pPr>
      <w:r>
        <w:t>Rechtsanwalt Dr. Severin Pflüger</w:t>
      </w:r>
    </w:p>
    <w:p>
      <w:pPr>
        <w:jc w:val="left"/>
      </w:pPr>
      <w:r>
        <w:t>Fachanwalt für Bank- und Kapitalmarktrecht</w:t>
      </w:r>
    </w:p>
    <w:p>
      <w:pPr>
        <w:jc w:val="left"/>
      </w:pPr>
      <w:r>
        <w:t>Kanzlei Pflüger Schoeneberg Bankrecht</w:t>
      </w:r>
    </w:p>
    <w:p>
      <w:pPr>
        <w:jc w:val="left"/>
      </w:pPr>
      <w:r>
        <w:rPr>
          <w:i/>
        </w:rPr>
        <w:t>(bevollmächtigt gemäß Anlage: Vollmacht Eva-Maria Wittfeldt und Daniel Wittfeldt)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ZKD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ZKD AG</w:t>
    </w:r>
  </w:p>
  <w:p>
    <w:pPr>
      <w:jc w:val="left"/>
      <w:pBdr>
        <w:bottom w:val="single" w:sz="6" w:space="2" w:color="7B2D3B"/>
      </w:pBdr>
    </w:pPr>
    <w:r>
      <w:rPr>
        <w:rFonts w:ascii="Times New Roman" w:hAnsi="Times New Roman"/>
        <w:color w:val="6B6B66"/>
        <w:sz w:val="16"/>
      </w:rPr>
      <w:t>ZKD AG Cybercrime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