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Klageentwurf – LG Bremen ./. Sparkasse Bremen</w:t>
      </w:r>
    </w:p>
    <w:p>
      <w:pPr>
        <w:jc w:val="left"/>
      </w:pPr>
      <w:r>
        <w:rPr>
          <w:b/>
        </w:rPr>
        <w:t>Aktenzeichen LG Bremen:</w:t>
      </w:r>
      <w:r>
        <w:t xml:space="preserve"> 4 O 215/26</w:t>
      </w:r>
    </w:p>
    <w:p/>
    <w:p>
      <w:pPr>
        <w:jc w:val="left"/>
      </w:pPr>
      <w:r>
        <w:rPr>
          <w:b/>
        </w:rPr>
        <w:t>An das</w:t>
      </w:r>
    </w:p>
    <w:p>
      <w:pPr>
        <w:jc w:val="left"/>
      </w:pPr>
      <w:r>
        <w:rPr>
          <w:b/>
        </w:rPr>
        <w:t>Landgericht Bremen</w:t>
      </w:r>
    </w:p>
    <w:p>
      <w:pPr>
        <w:jc w:val="left"/>
      </w:pPr>
      <w:r>
        <w:rPr>
          <w:b/>
        </w:rPr>
        <w:t>– Zivilkammer 4 –</w:t>
      </w:r>
    </w:p>
    <w:p>
      <w:pPr>
        <w:jc w:val="left"/>
      </w:pPr>
      <w:r>
        <w:t>Domsheide 16</w:t>
      </w:r>
    </w:p>
    <w:p>
      <w:pPr>
        <w:jc w:val="left"/>
      </w:pPr>
      <w:r>
        <w:t>28195 Bremen</w:t>
      </w:r>
    </w:p>
    <w:p>
      <w:pPr>
        <w:jc w:val="left"/>
      </w:pPr>
      <w:r>
        <w:rPr>
          <w:b/>
        </w:rPr>
        <w:t>Klägerin:</w:t>
      </w:r>
    </w:p>
    <w:p>
      <w:pPr>
        <w:jc w:val="left"/>
      </w:pPr>
      <w:r>
        <w:t>Eva-Maria Wittfeldt, geb. 14.03.1962</w:t>
      </w:r>
    </w:p>
    <w:p>
      <w:pPr>
        <w:jc w:val="left"/>
      </w:pPr>
      <w:r>
        <w:t>Kiefernstraße 17, 28757 Bremen</w:t>
      </w:r>
    </w:p>
    <w:p>
      <w:pPr>
        <w:jc w:val="left"/>
      </w:pPr>
      <w:r>
        <w:t>– Klägerin –</w:t>
      </w:r>
    </w:p>
    <w:p>
      <w:pPr>
        <w:jc w:val="left"/>
      </w:pPr>
      <w:r>
        <w:t>vertreten durch:</w:t>
      </w:r>
    </w:p>
    <w:p>
      <w:pPr>
        <w:jc w:val="left"/>
      </w:pPr>
      <w:r>
        <w:t>Rechtsanwalt Dr. Severin Pflüger</w:t>
      </w:r>
    </w:p>
    <w:p>
      <w:pPr>
        <w:jc w:val="left"/>
      </w:pPr>
      <w:r>
        <w:t>Fachanwalt für Bank- und Kapitalmarktrecht</w:t>
      </w:r>
    </w:p>
    <w:p>
      <w:pPr>
        <w:jc w:val="left"/>
      </w:pPr>
      <w:r>
        <w:t>Kanzlei Pflüger Schoeneberg Bankrecht</w:t>
      </w:r>
    </w:p>
    <w:p>
      <w:pPr>
        <w:jc w:val="left"/>
      </w:pPr>
      <w:r>
        <w:t>Am Markt 14, 28195 Bremen</w:t>
      </w:r>
    </w:p>
    <w:p>
      <w:pPr>
        <w:jc w:val="left"/>
      </w:pPr>
      <w:r>
        <w:t>Tel.: 0421 / 33 88 20-0; Fax: 0421 / 33 88 20-99</w:t>
      </w:r>
    </w:p>
    <w:p>
      <w:pPr>
        <w:jc w:val="left"/>
      </w:pPr>
      <w:r>
        <w:rPr>
          <w:b/>
        </w:rPr>
        <w:t>Beklagte:</w:t>
      </w:r>
    </w:p>
    <w:p>
      <w:pPr>
        <w:jc w:val="left"/>
      </w:pPr>
      <w:r>
        <w:t>Sparkasse Bremen, vertreten durch den Vorstand</w:t>
      </w:r>
    </w:p>
    <w:p>
      <w:pPr>
        <w:jc w:val="left"/>
      </w:pPr>
      <w:r>
        <w:t>Am Brill 1–3, 28195 Bremen</w:t>
      </w:r>
    </w:p>
    <w:p>
      <w:pPr>
        <w:jc w:val="left"/>
      </w:pPr>
      <w:r>
        <w:t>– Beklagte –</w:t>
      </w:r>
    </w:p>
    <w:p/>
    <w:p>
      <w:pPr>
        <w:pStyle w:val="Heading2"/>
      </w:pPr>
      <w:r>
        <w:rPr>
          <w:rFonts w:ascii="Times New Roman" w:hAnsi="Times New Roman"/>
        </w:rPr>
        <w:t>KLAGE</w:t>
      </w:r>
    </w:p>
    <w:p>
      <w:pPr>
        <w:pStyle w:val="Heading3"/>
      </w:pPr>
      <w:r>
        <w:rPr>
          <w:rFonts w:ascii="Times New Roman" w:hAnsi="Times New Roman"/>
        </w:rPr>
        <w:t>(Entwurf, Stand 30.04.2026 – nicht eingereicht, Einreichung vorbehaltlich Reaktion Beklagte bis 12.05.2026)</w:t>
      </w:r>
    </w:p>
    <w:p/>
    <w:p>
      <w:pPr>
        <w:pStyle w:val="Heading2"/>
      </w:pPr>
      <w:r>
        <w:rPr>
          <w:rFonts w:ascii="Times New Roman" w:hAnsi="Times New Roman"/>
        </w:rPr>
        <w:t>I. Anträge</w:t>
      </w:r>
    </w:p>
    <w:p>
      <w:pPr>
        <w:jc w:val="left"/>
      </w:pPr>
      <w:r>
        <w:t>Die Klägerin beantragt:</w:t>
      </w:r>
    </w:p>
    <w:p>
      <w:pPr>
        <w:pStyle w:val="ListNumber"/>
      </w:pPr>
      <w:r>
        <w:t xml:space="preserve">Die Beklagte wird verurteilt, an die Klägerin </w:t>
      </w:r>
      <w:r>
        <w:rPr>
          <w:b/>
        </w:rPr>
        <w:t>75.000,00 EUR</w:t>
      </w:r>
      <w:r>
        <w:t xml:space="preserve"> nebst Zinsen in Höhe von 5 Prozentpunkten über dem Basiszinssatz seit dem 24.01.2025 zu zahlen.</w:t>
      </w:r>
    </w:p>
    <w:p>
      <w:pPr>
        <w:pStyle w:val="ListNumber"/>
      </w:pPr>
      <w:r>
        <w:t xml:space="preserve">Es wird festgestellt, dass die Kündigung des Darlehensvertrags Nr. 24-01-0872/75 der Beklagten vom 14.11.2025 </w:t>
      </w:r>
      <w:r>
        <w:rPr>
          <w:b/>
        </w:rPr>
        <w:t>unwirksam</w:t>
      </w:r>
      <w:r>
        <w:t xml:space="preserve"> ist.</w:t>
      </w:r>
    </w:p>
    <w:p>
      <w:pPr>
        <w:pStyle w:val="ListNumber"/>
      </w:pPr>
      <w:r>
        <w:t xml:space="preserve">Die Beklagte wird verurteilt, den bei der Schufa Holding AG, Kormoranweg 5, 65201 Wiesbaden, gespeicherten Negativeintrag über die Klägerin (Forderung 71.380,00 EUR, Gläubiger: Sparkasse Bremen, Meldedatum: Dezember 2025) </w:t>
      </w:r>
      <w:r>
        <w:rPr>
          <w:b/>
        </w:rPr>
        <w:t>unverzüglich zu widerrufen</w:t>
      </w:r>
      <w:r>
        <w:t>.</w:t>
      </w:r>
    </w:p>
    <w:p>
      <w:pPr>
        <w:pStyle w:val="ListNumber"/>
      </w:pPr>
      <w:r>
        <w:t>Die Beklagte trägt die Kosten des Rechtsstreits.</w:t>
      </w:r>
    </w:p>
    <w:p>
      <w:pPr>
        <w:pStyle w:val="ListNumber"/>
      </w:pPr>
      <w:r>
        <w:t>Das Urteil ist vorläufig vollstreckbar.</w:t>
      </w:r>
    </w:p>
    <w:p>
      <w:pPr>
        <w:jc w:val="left"/>
      </w:pPr>
      <w:r>
        <w:rPr>
          <w:i/>
        </w:rPr>
        <w:t>Hilfsantrag:</w:t>
      </w:r>
      <w:r>
        <w:t xml:space="preserve"> Soweit Antrag 1 nicht in voller Höhe zugesprochen wird, wird beantragt festzustellen, dass die Beklagte verpflichtet ist, der Klägerin denjenigen Schaden zu ersetzen, der ihr dadurch entstanden ist, dass die Beklagte die Überweisungen vom 18.09.2024 bis 07.03.2025 ohne Warnhinweis ausgeführt hat.</w:t>
      </w:r>
    </w:p>
    <w:p/>
    <w:p>
      <w:pPr>
        <w:pStyle w:val="Heading2"/>
      </w:pPr>
      <w:r>
        <w:rPr>
          <w:rFonts w:ascii="Times New Roman" w:hAnsi="Times New Roman"/>
        </w:rPr>
        <w:t>II. Streitwert</w:t>
      </w:r>
    </w:p>
    <w:p>
      <w:pPr>
        <w:jc w:val="left"/>
      </w:pPr>
      <w:r>
        <w:t>Antrag 1: 75.000,00 EUR</w:t>
      </w:r>
    </w:p>
    <w:p>
      <w:pPr>
        <w:jc w:val="left"/>
      </w:pPr>
      <w:r>
        <w:t>Antrag 2 (Feststellung): 71.380,00 EUR</w:t>
      </w:r>
    </w:p>
    <w:p>
      <w:pPr>
        <w:jc w:val="left"/>
      </w:pPr>
      <w:r>
        <w:t>Antrag 3 (Schufa): 7.138,00 EUR</w:t>
      </w:r>
    </w:p>
    <w:p>
      <w:pPr>
        <w:jc w:val="left"/>
      </w:pPr>
      <w:r>
        <w:rPr>
          <w:b/>
        </w:rPr>
        <w:t>Gesamt: 153.518,00 EUR</w:t>
      </w:r>
    </w:p>
    <w:p/>
    <w:p>
      <w:pPr>
        <w:pStyle w:val="Heading2"/>
      </w:pPr>
      <w:r>
        <w:rPr>
          <w:rFonts w:ascii="Times New Roman" w:hAnsi="Times New Roman"/>
        </w:rPr>
        <w:t>III. Sachverhalt</w:t>
      </w:r>
    </w:p>
    <w:p>
      <w:pPr>
        <w:pStyle w:val="Heading3"/>
      </w:pPr>
      <w:r>
        <w:rPr>
          <w:rFonts w:ascii="Times New Roman" w:hAnsi="Times New Roman"/>
        </w:rPr>
        <w:t>1. Die Parteien</w:t>
      </w:r>
    </w:p>
    <w:p>
      <w:pPr>
        <w:jc w:val="left"/>
      </w:pPr>
      <w:r>
        <w:t>Die Klägerin, Frau Eva-Maria Wittfeldt, ist eine 64-jährige vorzeitig pensionierte Diplom-Ingenieurin aus Bremen-Vegesack mit einem monatlichen Einkommen von ca. 980 EUR (Erwerbsminderungsrente). Sie ist seit dem Tod ihres Mannes im Jahr 2019 Alleineigentümerin der Eigentumswohnung Kiefernstraße 17, 28757 Bremen.</w:t>
      </w:r>
    </w:p>
    <w:p>
      <w:pPr>
        <w:jc w:val="left"/>
      </w:pPr>
      <w:r>
        <w:t>Die Beklagte ist die Sparkasse Bremen, die kontoführende Bank der Klägerin seit dem Jahr 1985.</w:t>
      </w:r>
    </w:p>
    <w:p>
      <w:pPr>
        <w:pStyle w:val="Heading3"/>
      </w:pPr>
      <w:r>
        <w:rPr>
          <w:rFonts w:ascii="Times New Roman" w:hAnsi="Times New Roman"/>
        </w:rPr>
        <w:t>2. Der Betrug und die Überweisungen</w:t>
      </w:r>
    </w:p>
    <w:p>
      <w:pPr>
        <w:jc w:val="left"/>
      </w:pPr>
      <w:r>
        <w:t>Im Zeitraum September 2024 bis März 2025 wurde die Klägerin durch die betrügerische Kryptowährungs-Handelsplattform CryptoFutureMax.io um insgesamt 387.420,00 EUR geschädigt. Sie überwies insgesamt sieben Beträge von ihrem bei der Beklagten geführten Girokonto (IBAN DE44 2905 0101 1004 8830 12) auf Auslandskonten der Täter.</w:t>
      </w:r>
    </w:p>
    <w:p>
      <w:pPr>
        <w:pStyle w:val="Heading3"/>
      </w:pPr>
      <w:r>
        <w:rPr>
          <w:rFonts w:ascii="Times New Roman" w:hAnsi="Times New Roman"/>
        </w:rPr>
        <w:t>3. Das Hypothekendarlehen</w:t>
      </w:r>
    </w:p>
    <w:p>
      <w:pPr>
        <w:jc w:val="left"/>
      </w:pPr>
      <w:r>
        <w:t>Am 07.01.2025 schloss die Klägerin mit der Beklagten einen Darlehensvertrag über 75.000,00 EUR (Darlehensvertrag Nr. 24-01-0872/75) ab. Das Darlehen wurde am 22.01.2025 auf das Girokonto der Klägerin ausgezahlt. Am 24.01.2025, also zwei Tage nach der Auszahlung, überwies die Klägerin unter dem Einfluss der Betrüger 51.000,00 EUR des Darlehens auf ein Konto der Trustless Banking S.A. in Estland. Die Beklagte führte diese Überweisung aus, ohne einen Warnhinweis zu erteilen.</w:t>
      </w:r>
    </w:p>
    <w:p>
      <w:pPr>
        <w:pStyle w:val="Heading3"/>
      </w:pPr>
      <w:r>
        <w:rPr>
          <w:rFonts w:ascii="Times New Roman" w:hAnsi="Times New Roman"/>
        </w:rPr>
        <w:t>4. Die Pflichtverletzungen der Beklagten</w:t>
      </w:r>
    </w:p>
    <w:p>
      <w:pPr>
        <w:jc w:val="left"/>
      </w:pPr>
      <w:r>
        <w:rPr>
          <w:b/>
        </w:rPr>
        <w:t>a) Verletzung der Warnpflicht:</w:t>
      </w:r>
    </w:p>
    <w:p>
      <w:pPr>
        <w:jc w:val="left"/>
      </w:pPr>
      <w:r>
        <w:t>Bereits zum Zeitpunkt der Überweisung Nr. 4 (18.12.2024, 89.000 EUR) und spätestens zum Zeitpunkt der Darlehensauszahlung und der unmittelbar nachfolgenden Überweisung Nr. 5 (22./24.01.2025) lagen der Beklagten folgende Erkenntnisse vor:</w:t>
      </w:r>
    </w:p>
    <w:p>
      <w:pPr>
        <w:pStyle w:val="ListBullet"/>
      </w:pPr>
      <w:r>
        <w:t>Vier Auslandsüberweisungen in Drittstaaten in Höhe von insgesamt 227.500 EUR innerhalb von drei Monaten.</w:t>
      </w:r>
    </w:p>
    <w:p>
      <w:pPr>
        <w:pStyle w:val="ListBullet"/>
      </w:pPr>
      <w:r>
        <w:t>Empfänger in Hongkong, Estland und Zypern – für eine EM-Rentnerin mit ~980 EUR/Monat ohne erkennbaren Bezug zur Finanzbranche wirtschaftlich völlig untypisch.</w:t>
      </w:r>
    </w:p>
    <w:p>
      <w:pPr>
        <w:pStyle w:val="ListBullet"/>
      </w:pPr>
      <w:r>
        <w:t>Verwendungszwecke „CFMX", „AML Deposit" – branchenbekannte Betrugsmerkmale.</w:t>
      </w:r>
    </w:p>
    <w:p>
      <w:pPr>
        <w:jc w:val="left"/>
      </w:pPr>
      <w:r>
        <w:t>Nach BGH XI ZR 56/07 (NJW 2008, 2245) ist ein Kreditinstitut verpflichtet, den Kunden vor der Ausführung einer Überweisung zu warnen, wenn es positive Kenntnis von einer Betrugsgefahr hat oder diese sich bei gehöriger Sorgfalt aufdrängen musste.</w:t>
      </w:r>
    </w:p>
    <w:p>
      <w:pPr>
        <w:jc w:val="left"/>
      </w:pPr>
      <w:r>
        <w:t>Spätestens beim Abschluss des Darlehensvertrags am 07.01.2025 hätte die Beklagte im Rahmen der Kreditwürdigkeitsprüfung (§ 505a BGB) die vorangegangenen Überweisungen berücksichtigen und die Klägerin befragen müssen. Beides unterblieb.</w:t>
      </w:r>
    </w:p>
    <w:p>
      <w:pPr>
        <w:jc w:val="left"/>
      </w:pPr>
      <w:r>
        <w:rPr>
          <w:b/>
        </w:rPr>
        <w:t>b) Verletzung der KWG/GwG-Pflichten:</w:t>
      </w:r>
    </w:p>
    <w:p>
      <w:pPr>
        <w:jc w:val="left"/>
      </w:pPr>
      <w:r>
        <w:t>Die Beklagte war nach § 25h KWG und § 43 GwG verpflichtet, verdächtige Transaktionsmuster zu überwachen und bei Verdacht auf Geldwäsche oder Betrug eine Verdachtsmeldung bei der FIU zu erstatten sowie ggf. die Ausführung der Überweisung zu verweigern. Beides unterblieb.</w:t>
      </w:r>
    </w:p>
    <w:p>
      <w:pPr>
        <w:jc w:val="left"/>
      </w:pPr>
      <w:r>
        <w:rPr>
          <w:b/>
        </w:rPr>
        <w:t>c) Unwirksamkeit der Kreditkündigung:</w:t>
      </w:r>
    </w:p>
    <w:p>
      <w:pPr>
        <w:jc w:val="left"/>
      </w:pPr>
      <w:r>
        <w:t>Die Kündigung des Darlehensvertrags vom 14.11.2025 (§ 490 Abs. 1 BGB) ist aus den in Aktenstück 12 dargestellten Gründen nach § 242 BGB unwirksam.</w:t>
      </w:r>
    </w:p>
    <w:p>
      <w:pPr>
        <w:pStyle w:val="Heading3"/>
      </w:pPr>
      <w:r>
        <w:rPr>
          <w:rFonts w:ascii="Times New Roman" w:hAnsi="Times New Roman"/>
        </w:rPr>
        <w:t>5. Schadensberechnung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Schadensposten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Darlehensvaluta (vollständig aus Darlehensmitteln finanzierte Überweisungen, unmittelbar kausal)</w:t>
            </w:r>
          </w:p>
        </w:tc>
        <w:tc>
          <w:tcPr>
            <w:tcW w:type="dxa" w:w="4536"/>
          </w:tcPr>
          <w:p>
            <w:r>
              <w:rPr>
                <w:rFonts w:ascii="Times New Roman" w:hAnsi="Times New Roman"/>
                <w:sz w:val="20"/>
              </w:rPr>
              <w:t>75.000,00 EUR</w:t>
            </w:r>
          </w:p>
        </w:tc>
      </w:tr>
      <w:tr>
        <w:tc>
          <w:tcPr>
            <w:tcW w:type="dxa" w:w="4536"/>
          </w:tcPr>
          <w:p>
            <w:r>
              <w:rPr>
                <w:rFonts w:ascii="Times New Roman" w:hAnsi="Times New Roman"/>
                <w:sz w:val="20"/>
              </w:rPr>
              <w:t>Zinsschaden (4,35 % p.a. auf 75.000 EUR ab 24.01.2025)</w:t>
            </w:r>
          </w:p>
        </w:tc>
        <w:tc>
          <w:tcPr>
            <w:tcW w:type="dxa" w:w="4536"/>
          </w:tcPr>
          <w:p>
            <w:r>
              <w:rPr>
                <w:rFonts w:ascii="Times New Roman" w:hAnsi="Times New Roman"/>
                <w:sz w:val="20"/>
              </w:rPr>
              <w:t>nach Berechnung</w:t>
            </w:r>
          </w:p>
        </w:tc>
      </w:tr>
      <w:tr>
        <w:tc>
          <w:tcPr>
            <w:tcW w:type="dxa" w:w="4536"/>
          </w:tcPr>
          <w:p>
            <w:r>
              <w:rPr>
                <w:rFonts w:ascii="Times New Roman" w:hAnsi="Times New Roman"/>
                <w:sz w:val="20"/>
              </w:rPr>
              <w:t>Kosten Strafverfolgung / Rechtsverfolgung</w:t>
            </w:r>
          </w:p>
        </w:tc>
        <w:tc>
          <w:tcPr>
            <w:tcW w:type="dxa" w:w="4536"/>
          </w:tcPr>
          <w:p>
            <w:r>
              <w:rPr>
                <w:rFonts w:ascii="Times New Roman" w:hAnsi="Times New Roman"/>
                <w:sz w:val="20"/>
              </w:rPr>
              <w:t>nach Nachweis</w:t>
            </w:r>
          </w:p>
        </w:tc>
      </w:tr>
    </w:tbl>
    <w:p/>
    <w:p>
      <w:pPr>
        <w:pStyle w:val="Heading2"/>
      </w:pPr>
      <w:r>
        <w:rPr>
          <w:rFonts w:ascii="Times New Roman" w:hAnsi="Times New Roman"/>
        </w:rPr>
        <w:t>IV. Rechtliche Ausführungen</w:t>
      </w:r>
    </w:p>
    <w:p>
      <w:pPr>
        <w:pStyle w:val="Heading3"/>
      </w:pPr>
      <w:r>
        <w:rPr>
          <w:rFonts w:ascii="Times New Roman" w:hAnsi="Times New Roman"/>
        </w:rPr>
        <w:t>§§ 280 Abs. 1, 241 Abs. 2 BGB (Schadensersatz wegen Pflichtverletzung)</w:t>
      </w:r>
    </w:p>
    <w:p>
      <w:pPr>
        <w:jc w:val="left"/>
      </w:pPr>
      <w:r>
        <w:t>Der zwischen den Parteien bestehende Zahlungsdiensterahmenvertrag (Kontovertrag) begründet ein Schuldverhältnis i.S.d. § 241 Abs. 2 BGB, aus dem die Beklagte zu Rücksichtnahme auf die Interessen der Klägerin verpflichtet ist. Die Verletzung dieser Pflicht (fehlender Warnhinweis) hat kausal den Schaden verursacht, da die Klägerin bei rechtzeitiger Warnung die Überweisungen nicht durchgeführt hätte.</w:t>
      </w:r>
    </w:p>
    <w:p>
      <w:pPr>
        <w:jc w:val="left"/>
      </w:pPr>
      <w:r>
        <w:rPr>
          <w:b/>
        </w:rPr>
        <w:t>Kausalität:</w:t>
      </w:r>
      <w:r>
        <w:t xml:space="preserve"> Die Klägerin erklärt eidesstattlich (Anlage), dass sie bei einem Hinweis der Beklagte auf die Betrugsmerkmale sofort Rücksprache mit ihrem Sohn gehalten und die Überweisungen eingestellt hätte.</w:t>
      </w:r>
    </w:p>
    <w:p>
      <w:pPr>
        <w:jc w:val="left"/>
      </w:pPr>
      <w:r>
        <w:rPr>
          <w:b/>
        </w:rPr>
        <w:t>Mitverschulden (§ 254 BGB):</w:t>
      </w:r>
      <w:r>
        <w:t xml:space="preserve"> Ein Mitverschulden der Klägerin ist zu berücksichtigen; nach vorläufiger Einschätzung jedoch nicht mehr als 30–40 %, da die Klägerin kognitiv und emotional vulnerabel war (Psychiatrisches Gutachten Dr. Sternberg, Aktenstück 15) und die Täuschung von professionellen Betrügern ausging.</w:t>
      </w:r>
    </w:p>
    <w:p>
      <w:pPr>
        <w:pStyle w:val="Heading3"/>
      </w:pPr>
      <w:r>
        <w:rPr>
          <w:rFonts w:ascii="Times New Roman" w:hAnsi="Times New Roman"/>
        </w:rPr>
        <w:t>Feststellungsklage zur Unwirksamkeit der Kündigung</w:t>
      </w:r>
    </w:p>
    <w:p>
      <w:pPr>
        <w:jc w:val="left"/>
      </w:pPr>
      <w:r>
        <w:t>Die Unwirksamkeit der Kündigung ergibt sich aus § 242 BGB (venire contra factum proprium; die Beklagte hat die Vermögensverschlechterung mitverursacht) sowie aus der fehlenden Verhältnismäßigkeit der sofortigen Gesamtfälligstellung ohne Stundungsangebot.</w:t>
      </w:r>
    </w:p>
    <w:p/>
    <w:p>
      <w:pPr>
        <w:pStyle w:val="Heading2"/>
      </w:pPr>
      <w:r>
        <w:rPr>
          <w:rFonts w:ascii="Times New Roman" w:hAnsi="Times New Roman"/>
        </w:rPr>
        <w:t>V. Beweisangebote</w:t>
      </w:r>
    </w:p>
    <w:p>
      <w:pPr>
        <w:pStyle w:val="ListBullet"/>
      </w:pPr>
      <w:r>
        <w:t>Kontoauszüge Sparkasse (Anlage K1)</w:t>
      </w:r>
    </w:p>
    <w:p>
      <w:pPr>
        <w:pStyle w:val="ListBullet"/>
      </w:pPr>
      <w:r>
        <w:t>Darlehensvertrag Nr. 24-01-0872/75 (Anlage K2)</w:t>
      </w:r>
    </w:p>
    <w:p>
      <w:pPr>
        <w:pStyle w:val="ListBullet"/>
      </w:pPr>
      <w:r>
        <w:t>Kündigung Sparkasse v. 14.11.2025 (Anlage K3)</w:t>
      </w:r>
    </w:p>
    <w:p>
      <w:pPr>
        <w:pStyle w:val="ListBullet"/>
      </w:pPr>
      <w:r>
        <w:t>E-Mail-Kommunikation CryptoFutureMax (Anlage K4)</w:t>
      </w:r>
    </w:p>
    <w:p>
      <w:pPr>
        <w:pStyle w:val="ListBullet"/>
      </w:pPr>
      <w:r>
        <w:t>Psychiatrisches Gutachten Dr. Sternberg (Anlage K5)</w:t>
      </w:r>
    </w:p>
    <w:p>
      <w:pPr>
        <w:pStyle w:val="ListBullet"/>
      </w:pPr>
      <w:r>
        <w:t>Vernehmung Daniel Wittfeldt als Zeuge</w:t>
      </w:r>
    </w:p>
    <w:p>
      <w:pPr>
        <w:pStyle w:val="ListBullet"/>
      </w:pPr>
      <w:r>
        <w:t>Parteivernehmung Eva-Maria Wittfeldt</w:t>
      </w:r>
    </w:p>
    <w:p>
      <w:pPr>
        <w:pStyle w:val="ListBullet"/>
      </w:pPr>
      <w:r>
        <w:t>Sachverständigengutachten (Bankbetrieb, Transaktionsüberwachung)</w:t>
      </w:r>
    </w:p>
    <w:p/>
    <w:p>
      <w:pPr>
        <w:jc w:val="left"/>
      </w:pPr>
      <w:r>
        <w:rPr>
          <w:b/>
        </w:rPr>
        <w:t>Bremen, 30. April 2026</w:t>
      </w:r>
    </w:p>
    <w:p>
      <w:pPr>
        <w:jc w:val="left"/>
      </w:pPr>
      <w:r>
        <w:rPr>
          <w:b/>
        </w:rPr>
        <w:t>Rechtsanwalt Dr. Severin Pflüger</w:t>
      </w:r>
    </w:p>
    <w:p>
      <w:pPr>
        <w:jc w:val="left"/>
      </w:pPr>
      <w:r>
        <w:t>Fachanwalt für Bank- und Kapitalmarktrecht</w:t>
      </w:r>
    </w:p>
    <w:p>
      <w:pPr>
        <w:jc w:val="left"/>
      </w:pPr>
      <w:r>
        <w:rPr>
          <w:i/>
        </w:rPr>
        <w:t>(Entwurf – Einreichung nach Ablauf Frist 12.05.2026)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Bremen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Bremen</w:t>
    </w:r>
  </w:p>
  <w:p>
    <w:pPr>
      <w:jc w:val="left"/>
      <w:pBdr>
        <w:bottom w:val="single" w:sz="6" w:space="2" w:color="3B3F45"/>
      </w:pBdr>
    </w:pPr>
    <w:r>
      <w:rPr>
        <w:rFonts w:ascii="Times New Roman" w:hAnsi="Times New Roman"/>
        <w:color w:val="6B6B66"/>
        <w:sz w:val="16"/>
      </w:rPr>
      <w:t>Gericht · Aktenzeichen LG Bremen: 4 O 215/26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