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08 — Produkthaftung: PowerNutrition GmbH, Memmingen</w:t>
      </w:r>
    </w:p>
    <w:p>
      <w:pPr>
        <w:jc w:val="left"/>
      </w:pPr>
      <w:r>
        <w:rPr>
          <w:b/>
        </w:rPr>
        <w:t>Erstellt:</w:t>
      </w:r>
      <w:r>
        <w:t xml:space="preserve"> 15.04.2026</w:t>
      </w:r>
    </w:p>
    <w:p>
      <w:pPr>
        <w:jc w:val="left"/>
      </w:pPr>
      <w:r>
        <w:rPr>
          <w:b/>
        </w:rPr>
        <w:t>Bearbeiter:</w:t>
      </w:r>
      <w:r>
        <w:t xml:space="preserve"> RA Prof. Dr. Markus Lentze</w:t>
      </w:r>
    </w:p>
    <w:p>
      <w:pPr>
        <w:jc w:val="left"/>
      </w:pPr>
      <w:r>
        <w:rPr>
          <w:b/>
        </w:rPr>
        <w:t>AZ:</w:t>
      </w:r>
      <w:r>
        <w:t xml:space="preserve"> SU/DOPING/2026-001</w:t>
      </w:r>
    </w:p>
    <w:p/>
    <w:p>
      <w:pPr>
        <w:pStyle w:val="Heading2"/>
      </w:pPr>
      <w:r>
        <w:rPr>
          <w:rFonts w:ascii="Times New Roman" w:hAnsi="Times New Roman"/>
        </w:rPr>
        <w:t>1. Anspruchsgrundlagen</w:t>
      </w:r>
    </w:p>
    <w:p>
      <w:pPr>
        <w:jc w:val="left"/>
      </w:pPr>
      <w:r>
        <w:t>Gegen PowerNutrition GmbH kommen folgende Anspruchsgrundlagen in Betracht: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Anspruchsgrundlage</w:t>
            </w:r>
          </w:p>
        </w:tc>
        <w:tc>
          <w:tcPr>
            <w:tcW w:type="dxa" w:w="3024"/>
          </w:tcPr>
          <w:p>
            <w:r>
              <w:rPr>
                <w:rFonts w:ascii="Times New Roman" w:hAnsi="Times New Roman"/>
                <w:b/>
                <w:sz w:val="20"/>
              </w:rPr>
              <w:t>Inhalt</w:t>
            </w:r>
          </w:p>
        </w:tc>
        <w:tc>
          <w:tcPr>
            <w:tcW w:type="dxa" w:w="3024"/>
          </w:tcPr>
          <w:p>
            <w:r>
              <w:rPr>
                <w:rFonts w:ascii="Times New Roman" w:hAnsi="Times New Roman"/>
                <w:b/>
                <w:sz w:val="20"/>
              </w:rPr>
              <w:t>Ziel</w:t>
            </w:r>
          </w:p>
        </w:tc>
      </w:tr>
      <w:tr>
        <w:tc>
          <w:tcPr>
            <w:tcW w:type="dxa" w:w="3024"/>
          </w:tcPr>
          <w:p>
            <w:r>
              <w:rPr>
                <w:rFonts w:ascii="Times New Roman" w:hAnsi="Times New Roman"/>
                <w:sz w:val="20"/>
              </w:rPr>
              <w:t>§ 1 ProdHaftG</w:t>
            </w:r>
          </w:p>
        </w:tc>
        <w:tc>
          <w:tcPr>
            <w:tcW w:type="dxa" w:w="3024"/>
          </w:tcPr>
          <w:p>
            <w:r>
              <w:rPr>
                <w:rFonts w:ascii="Times New Roman" w:hAnsi="Times New Roman"/>
                <w:sz w:val="20"/>
              </w:rPr>
              <w:t>Gefährdungshaftung für fehlerhaftes Produkt</w:t>
            </w:r>
          </w:p>
        </w:tc>
        <w:tc>
          <w:tcPr>
            <w:tcW w:type="dxa" w:w="3024"/>
          </w:tcPr>
          <w:p>
            <w:r>
              <w:rPr>
                <w:rFonts w:ascii="Times New Roman" w:hAnsi="Times New Roman"/>
                <w:sz w:val="20"/>
              </w:rPr>
              <w:t>Schadensersatz</w:t>
            </w:r>
          </w:p>
        </w:tc>
      </w:tr>
      <w:tr>
        <w:tc>
          <w:tcPr>
            <w:tcW w:type="dxa" w:w="3024"/>
          </w:tcPr>
          <w:p>
            <w:r>
              <w:rPr>
                <w:rFonts w:ascii="Times New Roman" w:hAnsi="Times New Roman"/>
                <w:sz w:val="20"/>
              </w:rPr>
              <w:t>§ 823 Abs. 1 BGB</w:t>
            </w:r>
          </w:p>
        </w:tc>
        <w:tc>
          <w:tcPr>
            <w:tcW w:type="dxa" w:w="3024"/>
          </w:tcPr>
          <w:p>
            <w:r>
              <w:rPr>
                <w:rFonts w:ascii="Times New Roman" w:hAnsi="Times New Roman"/>
                <w:sz w:val="20"/>
              </w:rPr>
              <w:t>Deliktische Haftung — Körperverletzung</w:t>
            </w:r>
          </w:p>
        </w:tc>
        <w:tc>
          <w:tcPr>
            <w:tcW w:type="dxa" w:w="3024"/>
          </w:tcPr>
          <w:p>
            <w:r>
              <w:rPr>
                <w:rFonts w:ascii="Times New Roman" w:hAnsi="Times New Roman"/>
                <w:sz w:val="20"/>
              </w:rPr>
              <w:t>Schadensersatz + Schmerzensgeld</w:t>
            </w:r>
          </w:p>
        </w:tc>
      </w:tr>
      <w:tr>
        <w:tc>
          <w:tcPr>
            <w:tcW w:type="dxa" w:w="3024"/>
          </w:tcPr>
          <w:p>
            <w:r>
              <w:rPr>
                <w:rFonts w:ascii="Times New Roman" w:hAnsi="Times New Roman"/>
                <w:sz w:val="20"/>
              </w:rPr>
              <w:t>§ 823 Abs. 2 BGB i.V.m. LFGB</w:t>
            </w:r>
          </w:p>
        </w:tc>
        <w:tc>
          <w:tcPr>
            <w:tcW w:type="dxa" w:w="3024"/>
          </w:tcPr>
          <w:p>
            <w:r>
              <w:rPr>
                <w:rFonts w:ascii="Times New Roman" w:hAnsi="Times New Roman"/>
                <w:sz w:val="20"/>
              </w:rPr>
              <w:t>Verstoß gegen Schutzgesetze Lebensmittelrecht</w:t>
            </w:r>
          </w:p>
        </w:tc>
        <w:tc>
          <w:tcPr>
            <w:tcW w:type="dxa" w:w="3024"/>
          </w:tcPr>
          <w:p>
            <w:r>
              <w:rPr>
                <w:rFonts w:ascii="Times New Roman" w:hAnsi="Times New Roman"/>
                <w:sz w:val="20"/>
              </w:rPr>
              <w:t>Schadensersatz</w:t>
            </w:r>
          </w:p>
        </w:tc>
      </w:tr>
      <w:tr>
        <w:tc>
          <w:tcPr>
            <w:tcW w:type="dxa" w:w="3024"/>
          </w:tcPr>
          <w:p>
            <w:r>
              <w:rPr>
                <w:rFonts w:ascii="Times New Roman" w:hAnsi="Times New Roman"/>
                <w:sz w:val="20"/>
              </w:rPr>
              <w:t>§§ 280, 241 BGB</w:t>
            </w:r>
          </w:p>
        </w:tc>
        <w:tc>
          <w:tcPr>
            <w:tcW w:type="dxa" w:w="3024"/>
          </w:tcPr>
          <w:p>
            <w:r>
              <w:rPr>
                <w:rFonts w:ascii="Times New Roman" w:hAnsi="Times New Roman"/>
                <w:sz w:val="20"/>
              </w:rPr>
              <w:t>Vertragliche Schadensersatzpflicht (Kaufvertrag)</w:t>
            </w:r>
          </w:p>
        </w:tc>
        <w:tc>
          <w:tcPr>
            <w:tcW w:type="dxa" w:w="3024"/>
          </w:tcPr>
          <w:p>
            <w:r>
              <w:rPr>
                <w:rFonts w:ascii="Times New Roman" w:hAnsi="Times New Roman"/>
                <w:sz w:val="20"/>
              </w:rPr>
              <w:t>Schadensersatz, Rücktritt</w:t>
            </w:r>
          </w:p>
        </w:tc>
      </w:tr>
      <w:tr>
        <w:tc>
          <w:tcPr>
            <w:tcW w:type="dxa" w:w="3024"/>
          </w:tcPr>
          <w:p>
            <w:r>
              <w:rPr>
                <w:rFonts w:ascii="Times New Roman" w:hAnsi="Times New Roman"/>
                <w:sz w:val="20"/>
              </w:rPr>
              <w:t>§ 199 BGB i.V.m. § 195 BGB</w:t>
            </w:r>
          </w:p>
        </w:tc>
        <w:tc>
          <w:tcPr>
            <w:tcW w:type="dxa" w:w="3024"/>
          </w:tcPr>
          <w:p>
            <w:r>
              <w:rPr>
                <w:rFonts w:ascii="Times New Roman" w:hAnsi="Times New Roman"/>
                <w:sz w:val="20"/>
              </w:rPr>
              <w:t>Verjährungsfrage: 3 Jahre ab Kenntnis</w:t>
            </w:r>
          </w:p>
        </w:tc>
        <w:tc>
          <w:tcPr>
            <w:tcW w:type="dxa" w:w="3024"/>
          </w:tcPr>
          <w:p>
            <w:r>
              <w:rPr>
                <w:rFonts w:ascii="Times New Roman" w:hAnsi="Times New Roman"/>
                <w:sz w:val="20"/>
              </w:rPr>
              <w:t>—</w:t>
            </w:r>
          </w:p>
        </w:tc>
      </w:tr>
    </w:tbl>
    <w:p/>
    <w:p>
      <w:pPr>
        <w:pStyle w:val="Heading2"/>
      </w:pPr>
      <w:r>
        <w:rPr>
          <w:rFonts w:ascii="Times New Roman" w:hAnsi="Times New Roman"/>
        </w:rPr>
        <w:t>2. Produkthaftungsgesetz (ProdHaftG)</w:t>
      </w:r>
    </w:p>
    <w:p>
      <w:pPr>
        <w:pStyle w:val="Heading3"/>
      </w:pPr>
      <w:r>
        <w:rPr>
          <w:rFonts w:ascii="Times New Roman" w:hAnsi="Times New Roman"/>
        </w:rPr>
        <w:t>2.1 Tatbestand § 1 ProdHaftG</w:t>
      </w:r>
    </w:p>
    <w:p>
      <w:pPr>
        <w:jc w:val="left"/>
      </w:pPr>
      <w:r>
        <w:t xml:space="preserve">Nach § 1 Abs. 1 ProdHaftG haftet der </w:t>
      </w:r>
      <w:r>
        <w:rPr>
          <w:b/>
        </w:rPr>
        <w:t>Hersteller</w:t>
      </w:r>
      <w:r>
        <w:t xml:space="preserve"> eines Produkts für Schäden, die durch einen </w:t>
      </w:r>
      <w:r>
        <w:rPr>
          <w:b/>
        </w:rPr>
        <w:t>Fehler</w:t>
      </w:r>
      <w:r>
        <w:t xml:space="preserve"> des Produkts verursacht werden, an Körper oder Gesundheit einer Person.</w:t>
      </w:r>
    </w:p>
    <w:p>
      <w:pPr>
        <w:jc w:val="left"/>
      </w:pPr>
      <w:r>
        <w:rPr>
          <w:b/>
        </w:rPr>
        <w:t>Hersteller:</w:t>
      </w:r>
      <w:r>
        <w:t xml:space="preserve"> PowerNutrition GmbH, Memmingen — Herstellerin des Produkts RecoveryMax Pro (eigenverantwortliche Herstellung und Vermarktung lt. Etikett: „Hergestellt von PowerNutrition GmbH, Memmingen").</w:t>
      </w:r>
    </w:p>
    <w:p>
      <w:pPr>
        <w:jc w:val="left"/>
      </w:pPr>
      <w:r>
        <w:rPr>
          <w:b/>
        </w:rPr>
        <w:t>Fehler nach § 3 ProdHaftG:</w:t>
      </w:r>
      <w:r>
        <w:t xml:space="preserve"> Ein Produkt ist fehlerhaft, wenn es nicht die Sicherheit bietet, die unter Berücksichtigung aller Umstände berechtigterweise erwartet werden kann. Insbesondere:</w:t>
      </w:r>
    </w:p>
    <w:p>
      <w:pPr>
        <w:pStyle w:val="ListBullet"/>
      </w:pPr>
      <w:r>
        <w:t>§ 3 Abs. 1 lit. a: Darbietung des Produkts</w:t>
      </w:r>
    </w:p>
    <w:p>
      <w:pPr>
        <w:pStyle w:val="ListBullet"/>
      </w:pPr>
      <w:r>
        <w:t>§ 3 Abs. 1 lit. b: vernünftigerweise zu erwartender Gebrauch</w:t>
      </w:r>
    </w:p>
    <w:p>
      <w:pPr>
        <w:pStyle w:val="ListBullet"/>
      </w:pPr>
      <w:r>
        <w:t>§ 3 Abs. 1 lit. c: Zeitpunkt des Inverkehrbringens</w:t>
      </w:r>
    </w:p>
    <w:p>
      <w:pPr>
        <w:jc w:val="left"/>
      </w:pPr>
      <w:r>
        <w:rPr>
          <w:b/>
        </w:rPr>
        <w:t>Fehlerhaftigkeit im vorliegenden Fall:</w:t>
      </w:r>
      <w:r>
        <w:t xml:space="preserve"> Das Produkt enthält 0,84 mg Meldonium/Kapsel, eine nach dem WADA-Code verbotene Substanz, die nicht auf dem Etikett deklariert ist. Für einen Sporttreibenden — und erst recht für eine Profisportlerin — ist die Abwesenheit verbotener Substanzen die zentrale Sicherheitseigenschaft. Das Produkt ist damit offensichtlich fehlerhaft i.S.d. § 3 ProdHaftG.</w:t>
      </w:r>
    </w:p>
    <w:p>
      <w:pPr>
        <w:pStyle w:val="Heading3"/>
      </w:pPr>
      <w:r>
        <w:rPr>
          <w:rFonts w:ascii="Times New Roman" w:hAnsi="Times New Roman"/>
        </w:rPr>
        <w:t>2.2 Schaden</w:t>
      </w:r>
    </w:p>
    <w:p>
      <w:pPr>
        <w:jc w:val="left"/>
      </w:pPr>
      <w:r>
        <w:t>Der Schaden der Mandantin umfasst: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Schadensposten</w:t>
            </w:r>
          </w:p>
        </w:tc>
        <w:tc>
          <w:tcPr>
            <w:tcW w:type="dxa" w:w="4536"/>
          </w:tcPr>
          <w:p>
            <w:r>
              <w:rPr>
                <w:rFonts w:ascii="Times New Roman" w:hAnsi="Times New Roman"/>
                <w:b/>
                <w:sz w:val="20"/>
              </w:rPr>
              <w:t>Betrag (vorläufig)</w:t>
            </w:r>
          </w:p>
        </w:tc>
      </w:tr>
      <w:tr>
        <w:tc>
          <w:tcPr>
            <w:tcW w:type="dxa" w:w="4536"/>
          </w:tcPr>
          <w:p>
            <w:r>
              <w:rPr>
                <w:rFonts w:ascii="Times New Roman" w:hAnsi="Times New Roman"/>
                <w:sz w:val="20"/>
              </w:rPr>
              <w:t>Entgangener Arbeitsverdienst (Sperrzeit 2 Jahre)</w:t>
            </w:r>
          </w:p>
        </w:tc>
        <w:tc>
          <w:tcPr>
            <w:tcW w:type="dxa" w:w="4536"/>
          </w:tcPr>
          <w:p>
            <w:r>
              <w:rPr>
                <w:rFonts w:ascii="Times New Roman" w:hAnsi="Times New Roman"/>
                <w:sz w:val="20"/>
              </w:rPr>
              <w:t>ca. 148.800 EUR</w:t>
            </w:r>
          </w:p>
        </w:tc>
      </w:tr>
      <w:tr>
        <w:tc>
          <w:tcPr>
            <w:tcW w:type="dxa" w:w="4536"/>
          </w:tcPr>
          <w:p>
            <w:r>
              <w:rPr>
                <w:rFonts w:ascii="Times New Roman" w:hAnsi="Times New Roman"/>
                <w:sz w:val="20"/>
              </w:rPr>
              <w:t>Rückforderung Adidas-Vorschuss</w:t>
            </w:r>
          </w:p>
        </w:tc>
        <w:tc>
          <w:tcPr>
            <w:tcW w:type="dxa" w:w="4536"/>
          </w:tcPr>
          <w:p>
            <w:r>
              <w:rPr>
                <w:rFonts w:ascii="Times New Roman" w:hAnsi="Times New Roman"/>
                <w:sz w:val="20"/>
              </w:rPr>
              <w:t>80.000 EUR</w:t>
            </w:r>
          </w:p>
        </w:tc>
      </w:tr>
      <w:tr>
        <w:tc>
          <w:tcPr>
            <w:tcW w:type="dxa" w:w="4536"/>
          </w:tcPr>
          <w:p>
            <w:r>
              <w:rPr>
                <w:rFonts w:ascii="Times New Roman" w:hAnsi="Times New Roman"/>
                <w:sz w:val="20"/>
              </w:rPr>
              <w:t>Anwalts- und Verfahrenskosten (DSGSp, CAS, ArbG, LG Berlin, ICC)</w:t>
            </w:r>
          </w:p>
        </w:tc>
        <w:tc>
          <w:tcPr>
            <w:tcW w:type="dxa" w:w="4536"/>
          </w:tcPr>
          <w:p>
            <w:r>
              <w:rPr>
                <w:rFonts w:ascii="Times New Roman" w:hAnsi="Times New Roman"/>
                <w:sz w:val="20"/>
              </w:rPr>
              <w:t>ca. 120.000 EUR</w:t>
            </w:r>
          </w:p>
        </w:tc>
      </w:tr>
      <w:tr>
        <w:tc>
          <w:tcPr>
            <w:tcW w:type="dxa" w:w="4536"/>
          </w:tcPr>
          <w:p>
            <w:r>
              <w:rPr>
                <w:rFonts w:ascii="Times New Roman" w:hAnsi="Times New Roman"/>
                <w:sz w:val="20"/>
              </w:rPr>
              <w:t>Schmerzensgeld (psychische Belastung, Karriereschaden)</w:t>
            </w:r>
          </w:p>
        </w:tc>
        <w:tc>
          <w:tcPr>
            <w:tcW w:type="dxa" w:w="4536"/>
          </w:tcPr>
          <w:p>
            <w:r>
              <w:rPr>
                <w:rFonts w:ascii="Times New Roman" w:hAnsi="Times New Roman"/>
                <w:sz w:val="20"/>
              </w:rPr>
              <w:t>mindestens 50.000 EUR</w:t>
            </w:r>
          </w:p>
        </w:tc>
      </w:tr>
      <w:tr>
        <w:tc>
          <w:tcPr>
            <w:tcW w:type="dxa" w:w="4536"/>
          </w:tcPr>
          <w:p>
            <w:r>
              <w:rPr>
                <w:rFonts w:ascii="Times New Roman" w:hAnsi="Times New Roman"/>
                <w:sz w:val="20"/>
              </w:rPr>
              <w:t>Entgangene Nationalmannschafts-Prämien</w:t>
            </w:r>
          </w:p>
        </w:tc>
        <w:tc>
          <w:tcPr>
            <w:tcW w:type="dxa" w:w="4536"/>
          </w:tcPr>
          <w:p>
            <w:r>
              <w:rPr>
                <w:rFonts w:ascii="Times New Roman" w:hAnsi="Times New Roman"/>
                <w:sz w:val="20"/>
              </w:rPr>
              <w:t>ca. 19.000 EUR</w:t>
            </w:r>
          </w:p>
        </w:tc>
      </w:tr>
      <w:tr>
        <w:tc>
          <w:tcPr>
            <w:tcW w:type="dxa" w:w="4536"/>
          </w:tcPr>
          <w:p>
            <w:r>
              <w:rPr>
                <w:rFonts w:ascii="Times New Roman" w:hAnsi="Times New Roman"/>
                <w:b/>
                <w:sz w:val="20"/>
              </w:rPr>
              <w:t>Summe vorläufig</w:t>
            </w:r>
          </w:p>
        </w:tc>
        <w:tc>
          <w:tcPr>
            <w:tcW w:type="dxa" w:w="4536"/>
          </w:tcPr>
          <w:p>
            <w:r>
              <w:rPr>
                <w:rFonts w:ascii="Times New Roman" w:hAnsi="Times New Roman"/>
                <w:b/>
                <w:sz w:val="20"/>
              </w:rPr>
              <w:t>ca. 418.000 EUR</w:t>
            </w:r>
          </w:p>
        </w:tc>
      </w:tr>
    </w:tbl>
    <w:p>
      <w:pPr>
        <w:pStyle w:val="Heading3"/>
      </w:pPr>
      <w:r>
        <w:rPr>
          <w:rFonts w:ascii="Times New Roman" w:hAnsi="Times New Roman"/>
        </w:rPr>
        <w:t>2.3 Kausalität</w:t>
      </w:r>
    </w:p>
    <w:p>
      <w:pPr>
        <w:jc w:val="left"/>
      </w:pPr>
      <w:r>
        <w:t>Die Kausalität zwischen dem Produktfehler (Meldonium-Kontamination) und dem eingetretenen Schaden (AAF, Sperrverfahren, Kündigung etc.) wird durch das Gutachten Prof. Dr. Kempa belegt (s. Aktenstück 07).</w:t>
      </w:r>
    </w:p>
    <w:p>
      <w:pPr>
        <w:pStyle w:val="Heading3"/>
      </w:pPr>
      <w:r>
        <w:rPr>
          <w:rFonts w:ascii="Times New Roman" w:hAnsi="Times New Roman"/>
        </w:rPr>
        <w:t>2.4 Mitverschulden (§ 6 ProdHaftG i.V.m. § 254 BGB)</w:t>
      </w:r>
    </w:p>
    <w:p>
      <w:pPr>
        <w:jc w:val="left"/>
      </w:pPr>
      <w:r>
        <w:t>Die Beklagte wird einwenden, dass die Mandantin ihre Sorgfaltspflichten nicht erfüllte (kein Global-DRO-Check). Dieses Mitverschulden ist zu bewerten: Bei einer an Sportler vermarkteten Nahrungsergänzung und angesichts der Produktbeschreibung, die keinen Hinweis auf Kontaminationsrisiken enthielt, ist ein Mitverschulden allenfalls mit 20–30 % zu veranschlagen.</w:t>
      </w:r>
    </w:p>
    <w:p/>
    <w:p>
      <w:pPr>
        <w:pStyle w:val="Heading2"/>
      </w:pPr>
      <w:r>
        <w:rPr>
          <w:rFonts w:ascii="Times New Roman" w:hAnsi="Times New Roman"/>
        </w:rPr>
        <w:t>3. Deliktische Ansprüche (§ 823 BGB)</w:t>
      </w:r>
    </w:p>
    <w:p>
      <w:pPr>
        <w:pStyle w:val="Heading3"/>
      </w:pPr>
      <w:r>
        <w:rPr>
          <w:rFonts w:ascii="Times New Roman" w:hAnsi="Times New Roman"/>
        </w:rPr>
        <w:t>3.1 § 823 Abs. 1 BGB — Körperverletzung</w:t>
      </w:r>
    </w:p>
    <w:p>
      <w:pPr>
        <w:jc w:val="left"/>
      </w:pPr>
      <w:r>
        <w:t>Die nicht deklarierte Meldonium-Kontamination stellt eine Gesundheitsbeeinträchtigung dar (Einnahme einer verbotenen, pharmakologisch aktiven Substanz ohne Einwilligung). Es liegt ein Eingriff in das Rechtsgut Gesundheit vor. Die Zurechnung als Handlung der PowerNutrition GmbH ist über die Organhaftung (§ 31 BGB analog) gegeben: Vorstand und Geschäftsführung sind verantwortlich für die Qualitätskontrolle.</w:t>
      </w:r>
    </w:p>
    <w:p>
      <w:pPr>
        <w:pStyle w:val="Heading3"/>
      </w:pPr>
      <w:r>
        <w:rPr>
          <w:rFonts w:ascii="Times New Roman" w:hAnsi="Times New Roman"/>
        </w:rPr>
        <w:t>3.2 § 823 Abs. 2 BGB i.V.m. Lebensmittelrecht</w:t>
      </w:r>
    </w:p>
    <w:p>
      <w:pPr>
        <w:jc w:val="left"/>
      </w:pPr>
      <w:r>
        <w:rPr>
          <w:b/>
        </w:rPr>
        <w:t>Schutzgesetze:</w:t>
      </w:r>
    </w:p>
    <w:p>
      <w:pPr>
        <w:pStyle w:val="ListBullet"/>
      </w:pPr>
      <w:r>
        <w:rPr>
          <w:b/>
        </w:rPr>
        <w:t>Art. 9 Abs. 1 lit. b EU-Lebensmittelinformationsverordnung (LMIV) Nr. 1169/2011:</w:t>
      </w:r>
      <w:r>
        <w:t xml:space="preserve"> Pflicht zur vollständigen Zutatenkennzeichnung. Meldonium ist ein deklarierter Stoff — Fehlen der Kennzeichnung verstößt gegen die LMIV.</w:t>
      </w:r>
    </w:p>
    <w:p>
      <w:pPr>
        <w:pStyle w:val="ListBullet"/>
      </w:pPr>
      <w:r>
        <w:rPr>
          <w:b/>
        </w:rPr>
        <w:t>§ 11 Abs. 1 Lebensmittel- und Futtermittelgesetzbuch (LFGB):</w:t>
      </w:r>
      <w:r>
        <w:t xml:space="preserve"> Verbot des Inverkehrbringens täuschender Lebensmittel; nicht deklarierte Inhaltsstoffe stellen eine Täuschung dar.</w:t>
      </w:r>
    </w:p>
    <w:p>
      <w:pPr>
        <w:pStyle w:val="ListBullet"/>
      </w:pPr>
      <w:r>
        <w:rPr>
          <w:b/>
        </w:rPr>
        <w:t>§ 4 Diätverordnung:</w:t>
      </w:r>
      <w:r>
        <w:t xml:space="preserve"> Nahrungsergänzungsmittel müssen einer festgelegten Zusammensetzung entsprechen.</w:t>
      </w:r>
    </w:p>
    <w:p>
      <w:pPr>
        <w:jc w:val="left"/>
      </w:pPr>
      <w:r>
        <w:t>Verstöße gegen diese Schutzgesetze begründen nach § 823 Abs. 2 BGB einen eigenständigen Schadensersatzanspruch.</w:t>
      </w:r>
    </w:p>
    <w:p/>
    <w:p>
      <w:pPr>
        <w:pStyle w:val="Heading2"/>
      </w:pPr>
      <w:r>
        <w:rPr>
          <w:rFonts w:ascii="Times New Roman" w:hAnsi="Times New Roman"/>
        </w:rPr>
        <w:t>4. Vertragliche Ansprüche</w:t>
      </w:r>
    </w:p>
    <w:p>
      <w:pPr>
        <w:pStyle w:val="Heading3"/>
      </w:pPr>
      <w:r>
        <w:rPr>
          <w:rFonts w:ascii="Times New Roman" w:hAnsi="Times New Roman"/>
        </w:rPr>
        <w:t>4.1 Kaufvertrag und Mängelgewährleistung</w:t>
      </w:r>
    </w:p>
    <w:p>
      <w:pPr>
        <w:jc w:val="left"/>
      </w:pPr>
      <w:r>
        <w:t>Der Kaufvertrag über RecoveryMax Pro ist ein Verbrauchsgüterkaufvertrag (§§ 433, 474 BGB). Das kontaminierte Produkt ist mangelhaft i.S.d. § 434 BGB (fehlende Eignung für den vereinbarten Zweck — Verwendung durch Profisportlerin). Ansprüche: Nacherfüllung (§ 439 BGB), Rücktritt (§ 440 BGB), Schadensersatz (§ 440 BGB i.V.m. §§ 280, 281, 283 BGB).</w:t>
      </w:r>
    </w:p>
    <w:p>
      <w:pPr>
        <w:pStyle w:val="Heading3"/>
      </w:pPr>
      <w:r>
        <w:rPr>
          <w:rFonts w:ascii="Times New Roman" w:hAnsi="Times New Roman"/>
        </w:rPr>
        <w:t>4.2 Vorvertragliche Haftung (§ 311 Abs. 2 BGB)</w:t>
      </w:r>
    </w:p>
    <w:p>
      <w:pPr>
        <w:jc w:val="left"/>
      </w:pPr>
      <w:r>
        <w:t>PowerNutrition GmbH bewirbt RecoveryMax Pro explizit als „geprüft und geeignet für Leistungssportler". Diese Marketingaussage begründet eine vorvertragliche Aufklärungspflicht über Kontaminationsrisiken, die verletzt wurde.</w:t>
      </w:r>
    </w:p>
    <w:p/>
    <w:p>
      <w:pPr>
        <w:pStyle w:val="Heading2"/>
      </w:pPr>
      <w:r>
        <w:rPr>
          <w:rFonts w:ascii="Times New Roman" w:hAnsi="Times New Roman"/>
        </w:rPr>
        <w:t>5. Prozessstrategie</w:t>
      </w:r>
    </w:p>
    <w:p>
      <w:pPr>
        <w:pStyle w:val="Heading3"/>
      </w:pPr>
      <w:r>
        <w:rPr>
          <w:rFonts w:ascii="Times New Roman" w:hAnsi="Times New Roman"/>
        </w:rPr>
        <w:t>5.1 Außergerichtliche Forderung</w:t>
      </w:r>
    </w:p>
    <w:p>
      <w:pPr>
        <w:jc w:val="left"/>
      </w:pPr>
      <w:r>
        <w:t>Mit Schreiben vom 15.04.2026 wurden PowerNutrition GmbH und ihr Vorstand (Geschäftsführer: Klaus-Dieter Maier und Susanne Baier) aufgefordert:</w:t>
      </w:r>
    </w:p>
    <w:p>
      <w:pPr>
        <w:pStyle w:val="ListNumber"/>
      </w:pPr>
      <w:r>
        <w:t>Anerkennung der Haftung dem Grunde nach bis 30.04.2026</w:t>
      </w:r>
    </w:p>
    <w:p>
      <w:pPr>
        <w:pStyle w:val="ListNumber"/>
      </w:pPr>
      <w:r>
        <w:t>Unterlassungserklärung: keine weiteren Chargen 22-4188 in den Verkehr zu bringen</w:t>
      </w:r>
    </w:p>
    <w:p>
      <w:pPr>
        <w:pStyle w:val="ListNumber"/>
      </w:pPr>
      <w:r>
        <w:t>Rückruf aller Chargen mit möglicher Kontamination</w:t>
      </w:r>
    </w:p>
    <w:p>
      <w:pPr>
        <w:pStyle w:val="ListNumber"/>
      </w:pPr>
      <w:r>
        <w:t>Zahlung eines Vorschusses von 50.000 EUR auf den Gesamtschaden bis 15.05.2026</w:t>
      </w:r>
    </w:p>
    <w:p>
      <w:pPr>
        <w:jc w:val="left"/>
      </w:pPr>
      <w:r>
        <w:rPr>
          <w:b/>
        </w:rPr>
        <w:t>Frist:</w:t>
      </w:r>
      <w:r>
        <w:t xml:space="preserve"> 30.04.2026. Bei fruchtlosem Ablauf: Klage vor dem LG Memmingen.</w:t>
      </w:r>
    </w:p>
    <w:p>
      <w:pPr>
        <w:pStyle w:val="Heading3"/>
      </w:pPr>
      <w:r>
        <w:rPr>
          <w:rFonts w:ascii="Times New Roman" w:hAnsi="Times New Roman"/>
        </w:rPr>
        <w:t>5.2 Parallel: Strafanzeige</w:t>
      </w:r>
    </w:p>
    <w:p>
      <w:pPr>
        <w:jc w:val="left"/>
      </w:pPr>
      <w:r>
        <w:t>Gleichzeitig wurde Strafanzeige erstattet (s. Aktenstück 22): § 223 StGB (Körperverletzung), § 230 StGB (Fahrlässige Körperverletzung) durch den Geschäftsführer der PowerNutrition GmbH.</w:t>
      </w:r>
    </w:p>
    <w:p/>
    <w:p>
      <w:pPr>
        <w:jc w:val="left"/>
      </w:pPr>
      <w:r>
        <w:rPr>
          <w:i/>
        </w:rPr>
        <w:t>Quellen: § 1 ProdHaftG; § 3 ProdHaftG; § 823 BGB; § 311 BGB; §§ 433 ff. BGB; § 11 LFGB; Art. 9 LMIV 1169/2011/EU; Palandt/Grüneberg, BGB, 83. Aufl. 2024, § 823 Rn. 55 ff.; BGH NJW 2014, 2022 (Produkthaftung Nahrungsmittel).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PowerNutrition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PowerNutrition GmbH</w:t>
    </w:r>
  </w:p>
  <w:p>
    <w:pPr>
      <w:jc w:val="left"/>
      <w:pBdr>
        <w:bottom w:val="single" w:sz="6" w:space="2" w:color="1F3864"/>
      </w:pBdr>
    </w:pPr>
    <w:r>
      <w:rPr>
        <w:rFonts w:ascii="Times New Roman" w:hAnsi="Times New Roman"/>
        <w:color w:val="6B6B66"/>
        <w:sz w:val="16"/>
      </w:rPr>
      <w:t>Memmingen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