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12 — Schiedsspruch DSGSp 12/26 und Berufungsstrategie CAS</w:t>
      </w:r>
    </w:p>
    <w:p>
      <w:pPr>
        <w:jc w:val="left"/>
      </w:pPr>
      <w:r>
        <w:rPr>
          <w:b/>
        </w:rPr>
        <w:t>Erstellt:</w:t>
      </w:r>
      <w:r>
        <w:t xml:space="preserve"> 15.07.2026</w:t>
      </w:r>
    </w:p>
    <w:p>
      <w:pPr>
        <w:jc w:val="left"/>
      </w:pPr>
      <w:r>
        <w:rPr>
          <w:b/>
        </w:rPr>
        <w:t>Bearbeiter:</w:t>
      </w:r>
      <w:r>
        <w:t xml:space="preserve"> RA Prof. Dr. Markus Lentze</w:t>
      </w:r>
    </w:p>
    <w:p>
      <w:pPr>
        <w:jc w:val="left"/>
      </w:pPr>
      <w:r>
        <w:rPr>
          <w:b/>
        </w:rPr>
        <w:t>AZ:</w:t>
      </w:r>
      <w:r>
        <w:t xml:space="preserve"> SU/DOPING/2026-001 / DSGSp 12/26 / CAS 2026/A/8821</w:t>
      </w:r>
    </w:p>
    <w:p/>
    <w:p>
      <w:pPr>
        <w:pStyle w:val="Heading2"/>
      </w:pPr>
      <w:r>
        <w:rPr>
          <w:rFonts w:ascii="Times New Roman" w:hAnsi="Times New Roman"/>
        </w:rPr>
        <w:t>1. Schiedsspruch DSGSp 12/26 (30.06.2026)</w:t>
      </w:r>
    </w:p>
    <w:p>
      <w:pPr>
        <w:pStyle w:val="Heading3"/>
      </w:pPr>
      <w:r>
        <w:rPr>
          <w:rFonts w:ascii="Times New Roman" w:hAnsi="Times New Roman"/>
        </w:rPr>
        <w:t>1.1 Tenor (Auszug)</w:t>
      </w:r>
    </w:p>
    <w:p>
      <w:pPr>
        <w:jc w:val="left"/>
      </w:pPr>
      <w:r>
        <w:t>Das Deutsche Sportschiedsgericht, Spruchkammer DSGSp 12/26, hat am 30.06.2026 wie folgt entschieden:</w:t>
      </w:r>
    </w:p>
    <w:p>
      <w:pPr>
        <w:jc w:val="left"/>
      </w:pPr>
      <w:r>
        <w:rPr>
          <w:b/>
        </w:rPr>
        <w:t>1. Es wird festgestellt, dass die Antragsgegnerin (Selin Uvalkanat) einen Anti-Doping-Regelverstoß nach Art. 2.1 NADC 2021 begangen hat.</w:t>
      </w:r>
    </w:p>
    <w:p>
      <w:pPr>
        <w:jc w:val="left"/>
      </w:pPr>
      <w:r>
        <w:rPr>
          <w:b/>
        </w:rPr>
        <w:t>2. Die Antragsgegnerin wird mit einer Sperre von 2 (zwei) Jahren belegt, beginnend am 28.02.2026, endend am 27.02.2028.</w:t>
      </w:r>
    </w:p>
    <w:p>
      <w:pPr>
        <w:jc w:val="left"/>
      </w:pPr>
      <w:r>
        <w:rPr>
          <w:b/>
        </w:rPr>
        <w:t>3. Alle Wettkampfergebnisse der Antragsgegnerin ab dem 18.02.2026 werden annulliert.</w:t>
      </w:r>
    </w:p>
    <w:p>
      <w:pPr>
        <w:jc w:val="left"/>
      </w:pPr>
      <w:r>
        <w:rPr>
          <w:b/>
        </w:rPr>
        <w:t>4. Die Kosten des Verfahrens werden der Antragsgegnerin zu 2/3 und NADA zu 1/3 auferlegt.</w:t>
      </w:r>
    </w:p>
    <w:p>
      <w:pPr>
        <w:jc w:val="left"/>
      </w:pPr>
      <w:r>
        <w:rPr>
          <w:b/>
        </w:rPr>
        <w:t>5. Jeder Partei werden ihre eigenen Rechtsanwaltskosten auferlegt.</w:t>
      </w:r>
    </w:p>
    <w:p>
      <w:pPr>
        <w:pStyle w:val="Heading3"/>
      </w:pPr>
      <w:r>
        <w:rPr>
          <w:rFonts w:ascii="Times New Roman" w:hAnsi="Times New Roman"/>
        </w:rPr>
        <w:t>1.2 Begründung (Wesentliche Punkte)</w:t>
      </w:r>
    </w:p>
    <w:p>
      <w:pPr>
        <w:jc w:val="left"/>
      </w:pPr>
      <w:r>
        <w:rPr>
          <w:b/>
        </w:rPr>
        <w:t>Zum Regelverstoß:</w:t>
      </w:r>
      <w:r>
        <w:t xml:space="preserve"> Die Spruchkammer folgt dem LGC-Analysebericht und dem Gutachten Kempa. Die Kontamination des Supplements ist nachgewiesen; das Supplement ist die Quelle des Meldonium-Befundes.</w:t>
      </w:r>
    </w:p>
    <w:p>
      <w:pPr>
        <w:jc w:val="left"/>
      </w:pPr>
      <w:r>
        <w:rPr>
          <w:b/>
        </w:rPr>
        <w:t>Zur Absicht:</w:t>
      </w:r>
      <w:r>
        <w:t xml:space="preserve"> NADA hat keine Absicht nachgewiesen. Art. 10.2.1 NADC scheidet aus. Ausgangspunkt: 2 Jahre nach Art. 10.2.2 NADC.</w:t>
      </w:r>
    </w:p>
    <w:p>
      <w:pPr>
        <w:jc w:val="left"/>
      </w:pPr>
      <w:r>
        <w:rPr>
          <w:b/>
        </w:rPr>
        <w:t>Zum Verschulden:</w:t>
      </w:r>
      <w:r>
        <w:t xml:space="preserve"> Die Spruchkammer verneint ein vollständiges Schuldlösungsrecht (Art. 10.5.2 NADC). Die Mandantin hätte als Nationalkader-Athletin mit RTP-Status die Global-DRO-Datenbank prüfen müssen. Das Unterlassen stellt ein erhebliches Versäumnis dar. </w:t>
      </w:r>
      <w:r>
        <w:rPr>
          <w:b/>
        </w:rPr>
        <w:t>Art. 10.5.1 NADC wird angewendet</w:t>
      </w:r>
      <w:r>
        <w:t xml:space="preserve">, würde aber nach dem Wortlaut von Art. 10.5.1 nur eine Reduzierung erlauben, wenn das Verschulden als „gering" eingestuft wird; die Spruchkammer stuft das Verschulden als „mittel-gering" ein und verbleibt beim Ausgangspunkt von </w:t>
      </w:r>
      <w:r>
        <w:rPr>
          <w:b/>
        </w:rPr>
        <w:t>2 Jahren</w:t>
      </w:r>
      <w:r>
        <w:t xml:space="preserve"> (da Art. 10.5.1 bei nicht-spezifizierten Substanzen keine Unterschreitung von 1 Jahr erlaubt, aber auch keine obligatorische Reduzierung).</w:t>
      </w:r>
    </w:p>
    <w:p>
      <w:pPr>
        <w:jc w:val="left"/>
      </w:pPr>
      <w:r>
        <w:rPr>
          <w:b/>
        </w:rPr>
        <w:t>Kritische Würdigung:</w:t>
      </w:r>
      <w:r>
        <w:t xml:space="preserve"> Die Begründung ist angreifbar. Erstens: Meldonium ist seit 2022 mit Schwellenwert versehen — was den Charakter als „metabolischen Modulator" abschwächt. Zweitens: CAS-Rechtsprechung zu Art. 10.5.1 ist großzügiger bei kleinen Schwellenwertüberschreitungen. Drittens: Die fehlende strukturelle Unterstützung durch DHB und BSV ist nicht hinreichend gewürdigt worden.</w:t>
      </w:r>
    </w:p>
    <w:p/>
    <w:p>
      <w:pPr>
        <w:pStyle w:val="Heading2"/>
      </w:pPr>
      <w:r>
        <w:rPr>
          <w:rFonts w:ascii="Times New Roman" w:hAnsi="Times New Roman"/>
        </w:rPr>
        <w:t>2. Rechtsmittelbelehrung und Frist</w:t>
      </w:r>
    </w:p>
    <w:p>
      <w:pPr>
        <w:jc w:val="left"/>
      </w:pPr>
      <w:r>
        <w:t>Der Schiedsspruch enthält folgende Rechtsmittelbelehrung:</w:t>
      </w:r>
    </w:p>
    <w:p>
      <w:pPr>
        <w:jc w:val="left"/>
      </w:pPr>
      <w:r>
        <w:t xml:space="preserve">„Gegen diesen Schiedsspruch ist Berufung beim Court of Arbitration for Sport (CAS), Lausanne, nach dessen Verfahrensregeln (Code of Sports-related Arbitration, R47 ff.) innerhalb von </w:t>
      </w:r>
      <w:r>
        <w:rPr>
          <w:b/>
        </w:rPr>
        <w:t>21 Tagen</w:t>
      </w:r>
      <w:r>
        <w:t xml:space="preserve"> nach Zustellung des vollständig begründeten Schiedsspruchs zulässig."</w:t>
      </w:r>
    </w:p>
    <w:p>
      <w:pPr>
        <w:jc w:val="left"/>
      </w:pPr>
      <w:r>
        <w:t xml:space="preserve">Zustellung des vollständig begründeten Schiedsspruchs: </w:t>
      </w:r>
      <w:r>
        <w:rPr>
          <w:b/>
        </w:rPr>
        <w:t>07.07.2026</w:t>
      </w:r>
      <w:r>
        <w:t>.</w:t>
      </w:r>
    </w:p>
    <w:p>
      <w:pPr>
        <w:jc w:val="left"/>
      </w:pPr>
      <w:r>
        <w:t xml:space="preserve">Berufungsfrist: </w:t>
      </w:r>
      <w:r>
        <w:rPr>
          <w:b/>
        </w:rPr>
        <w:t>28.07.2026</w:t>
      </w:r>
      <w:r>
        <w:t>.</w:t>
      </w:r>
    </w:p>
    <w:p>
      <w:pPr>
        <w:jc w:val="left"/>
      </w:pPr>
      <w:r>
        <w:t xml:space="preserve">Statement of Appeal eingereicht: </w:t>
      </w:r>
      <w:r>
        <w:rPr>
          <w:b/>
        </w:rPr>
        <w:t>15.07.2026</w:t>
      </w:r>
      <w:r>
        <w:t xml:space="preserve"> (innerhalb Frist).</w:t>
      </w:r>
    </w:p>
    <w:p/>
    <w:p>
      <w:pPr>
        <w:pStyle w:val="Heading2"/>
      </w:pPr>
      <w:r>
        <w:rPr>
          <w:rFonts w:ascii="Times New Roman" w:hAnsi="Times New Roman"/>
        </w:rPr>
        <w:t>3. Berufungsstrategie CAS</w:t>
      </w:r>
    </w:p>
    <w:p>
      <w:pPr>
        <w:pStyle w:val="Heading3"/>
      </w:pPr>
      <w:r>
        <w:rPr>
          <w:rFonts w:ascii="Times New Roman" w:hAnsi="Times New Roman"/>
        </w:rPr>
        <w:t>3.1 Berufungsbegründung — Hauptargumente</w:t>
      </w:r>
    </w:p>
    <w:p>
      <w:pPr>
        <w:jc w:val="left"/>
      </w:pPr>
      <w:r>
        <w:rPr>
          <w:b/>
        </w:rPr>
        <w:t>Argument 1: Fehlerhafte Anwendung Art. 10.5.1 NADC</w:t>
      </w:r>
    </w:p>
    <w:p>
      <w:pPr>
        <w:jc w:val="left"/>
      </w:pPr>
      <w:r>
        <w:t>Die Spruchkammer hat das Verschulden als „mittel-gering" eingestuft, ohne dies auf belastbare Tatsachen zu stützen. Nach CAS-Rechtsprechung (CAS 2024/A/9317, Pawłowski) ist bei belegter Supplement-Kontamination und fehlender Vorgeschichte der Athlet allenfalls mit „gering" zu belegen. Entsprechend ist die Sperre auf 8–12 Monate zu reduzieren, oder — bei Art. 10.5.2 — aufzuheben.</w:t>
      </w:r>
    </w:p>
    <w:p>
      <w:pPr>
        <w:jc w:val="left"/>
      </w:pPr>
      <w:r>
        <w:rPr>
          <w:b/>
        </w:rPr>
        <w:t>Argument 2: Art. 10.5.2 NADC (kein Verschulden)</w:t>
      </w:r>
    </w:p>
    <w:p>
      <w:pPr>
        <w:jc w:val="left"/>
      </w:pPr>
      <w:r>
        <w:t>Die Spruchkammer hat Art. 10.5.2 mit unzureichender Begründung verneint. Der CAS hat in einer Reihe von Fällen anerkannt, dass ein auf eine sachkundige Empfehlung gestütztes Vertrauen in ein Produkt eines regulierten deutschen Herstellers die Sorgfaltspflicht erfüllen kann, wenn weitere Umstände eine Prüfung nicht nahelegen. Die Mandantin ist eine 26-Jährige ohne systematischen Anti-Doping-Unterricht durch DHB oder Verein.</w:t>
      </w:r>
    </w:p>
    <w:p>
      <w:pPr>
        <w:jc w:val="left"/>
      </w:pPr>
      <w:r>
        <w:rPr>
          <w:b/>
        </w:rPr>
        <w:t>Argument 3: Verhältnismäßigkeit der Sperre</w:t>
      </w:r>
    </w:p>
    <w:p>
      <w:pPr>
        <w:jc w:val="left"/>
      </w:pPr>
      <w:r>
        <w:t>Eine 2-Jahres-Sperre für eine Grenzfall-Überschreitung (0,02 µg/mL über Schwellenwert) bei einem Erstverstoß und nachgewiesener Kontamination ist unverhältnismäßig und steht im Widerspruch zur CAS-Tendenz, bei Supplement-Kontaminationen erheblich zu mildern (vgl. CAS 2016/A/4372 — Halep, 1 Monat; CAS 2024/A/9317 — Pawłowski, 6 Monate).</w:t>
      </w:r>
    </w:p>
    <w:p>
      <w:pPr>
        <w:jc w:val="left"/>
      </w:pPr>
      <w:r>
        <w:rPr>
          <w:b/>
        </w:rPr>
        <w:t>Argument 4: Fehlende Würdigung DHB-Versagen</w:t>
      </w:r>
    </w:p>
    <w:p>
      <w:pPr>
        <w:jc w:val="left"/>
      </w:pPr>
      <w:r>
        <w:t>Der DHB unterhält kein strukturiertes Supplement-Beratungsprogramm für Bundesliga-Spielerinnen. WADA-Leitfäden verlangen, dass Verbände ihre Athleten schulen (WADA Anti-Doping Education Framework 2023). Das Versäumnis des DHB mindert das Verschulden der Athletin.</w:t>
      </w:r>
    </w:p>
    <w:p>
      <w:pPr>
        <w:pStyle w:val="Heading3"/>
      </w:pPr>
      <w:r>
        <w:rPr>
          <w:rFonts w:ascii="Times New Roman" w:hAnsi="Times New Roman"/>
        </w:rPr>
        <w:t>3.2 Anträge im CAS-Verfahren</w:t>
      </w:r>
    </w:p>
    <w:p>
      <w:pPr>
        <w:pStyle w:val="ListNumber"/>
      </w:pPr>
      <w:r>
        <w:t>Aufhebung des Schiedsspruchs DSGSp 12/26 betreffend die Sperre</w:t>
      </w:r>
    </w:p>
    <w:p>
      <w:pPr>
        <w:pStyle w:val="ListNumber"/>
      </w:pPr>
      <w:r>
        <w:t>Freispruch nach Art. 10.5.2 NADC, hilfsweise</w:t>
      </w:r>
    </w:p>
    <w:p>
      <w:pPr>
        <w:pStyle w:val="ListNumber"/>
      </w:pPr>
      <w:r>
        <w:t>Reduktion der Sperre auf maximal 8 Monate nach Art. 10.5.1 NADC</w:t>
      </w:r>
    </w:p>
    <w:p>
      <w:pPr>
        <w:pStyle w:val="ListNumber"/>
      </w:pPr>
      <w:r>
        <w:t>Aufhebung der vorläufigen Suspendierung für die Dauer des CAS-Verfahrens</w:t>
      </w:r>
    </w:p>
    <w:p>
      <w:pPr>
        <w:pStyle w:val="ListNumber"/>
      </w:pPr>
      <w:r>
        <w:t>Kostenentscheidung zu Lasten NADA</w:t>
      </w:r>
    </w:p>
    <w:p/>
    <w:p>
      <w:pPr>
        <w:pStyle w:val="Heading2"/>
      </w:pPr>
      <w:r>
        <w:rPr>
          <w:rFonts w:ascii="Times New Roman" w:hAnsi="Times New Roman"/>
        </w:rPr>
        <w:t>4. Zeitplan CAS-Verfahren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Schritt</w:t>
            </w:r>
          </w:p>
        </w:tc>
      </w:tr>
      <w:tr>
        <w:tc>
          <w:tcPr>
            <w:tcW w:type="dxa" w:w="4536"/>
          </w:tcPr>
          <w:p>
            <w:r>
              <w:rPr>
                <w:rFonts w:ascii="Times New Roman" w:hAnsi="Times New Roman"/>
                <w:sz w:val="20"/>
              </w:rPr>
              <w:t>15.07.2026</w:t>
            </w:r>
          </w:p>
        </w:tc>
        <w:tc>
          <w:tcPr>
            <w:tcW w:type="dxa" w:w="4536"/>
          </w:tcPr>
          <w:p>
            <w:r>
              <w:rPr>
                <w:rFonts w:ascii="Times New Roman" w:hAnsi="Times New Roman"/>
                <w:sz w:val="20"/>
              </w:rPr>
              <w:t>Statement of Appeal eingereicht (CAS 2026/A/8821)</w:t>
            </w:r>
          </w:p>
        </w:tc>
      </w:tr>
      <w:tr>
        <w:tc>
          <w:tcPr>
            <w:tcW w:type="dxa" w:w="4536"/>
          </w:tcPr>
          <w:p>
            <w:r>
              <w:rPr>
                <w:rFonts w:ascii="Times New Roman" w:hAnsi="Times New Roman"/>
                <w:sz w:val="20"/>
              </w:rPr>
              <w:t>28.07.2026</w:t>
            </w:r>
          </w:p>
        </w:tc>
        <w:tc>
          <w:tcPr>
            <w:tcW w:type="dxa" w:w="4536"/>
          </w:tcPr>
          <w:p>
            <w:r>
              <w:rPr>
                <w:rFonts w:ascii="Times New Roman" w:hAnsi="Times New Roman"/>
                <w:sz w:val="20"/>
              </w:rPr>
              <w:t>Ablauf Berufungsfrist (Statement of Appeal fristgerecht)</w:t>
            </w:r>
          </w:p>
        </w:tc>
      </w:tr>
      <w:tr>
        <w:tc>
          <w:tcPr>
            <w:tcW w:type="dxa" w:w="4536"/>
          </w:tcPr>
          <w:p>
            <w:r>
              <w:rPr>
                <w:rFonts w:ascii="Times New Roman" w:hAnsi="Times New Roman"/>
                <w:sz w:val="20"/>
              </w:rPr>
              <w:t>01.08.2026</w:t>
            </w:r>
          </w:p>
        </w:tc>
        <w:tc>
          <w:tcPr>
            <w:tcW w:type="dxa" w:w="4536"/>
          </w:tcPr>
          <w:p>
            <w:r>
              <w:rPr>
                <w:rFonts w:ascii="Times New Roman" w:hAnsi="Times New Roman"/>
                <w:sz w:val="20"/>
              </w:rPr>
              <w:t>CAS-Aktenzeichen bestätigt; CAS-Registrar nimmt Verfahren an</w:t>
            </w:r>
          </w:p>
        </w:tc>
      </w:tr>
      <w:tr>
        <w:tc>
          <w:tcPr>
            <w:tcW w:type="dxa" w:w="4536"/>
          </w:tcPr>
          <w:p>
            <w:r>
              <w:rPr>
                <w:rFonts w:ascii="Times New Roman" w:hAnsi="Times New Roman"/>
                <w:sz w:val="20"/>
              </w:rPr>
              <w:t>30.08.2026</w:t>
            </w:r>
          </w:p>
        </w:tc>
        <w:tc>
          <w:tcPr>
            <w:tcW w:type="dxa" w:w="4536"/>
          </w:tcPr>
          <w:p>
            <w:r>
              <w:rPr>
                <w:rFonts w:ascii="Times New Roman" w:hAnsi="Times New Roman"/>
                <w:sz w:val="20"/>
              </w:rPr>
              <w:t>Frist Berufungsbegründung (Appeal Brief)</w:t>
            </w:r>
          </w:p>
        </w:tc>
      </w:tr>
      <w:tr>
        <w:tc>
          <w:tcPr>
            <w:tcW w:type="dxa" w:w="4536"/>
          </w:tcPr>
          <w:p>
            <w:r>
              <w:rPr>
                <w:rFonts w:ascii="Times New Roman" w:hAnsi="Times New Roman"/>
                <w:sz w:val="20"/>
              </w:rPr>
              <w:t>30.09.2026</w:t>
            </w:r>
          </w:p>
        </w:tc>
        <w:tc>
          <w:tcPr>
            <w:tcW w:type="dxa" w:w="4536"/>
          </w:tcPr>
          <w:p>
            <w:r>
              <w:rPr>
                <w:rFonts w:ascii="Times New Roman" w:hAnsi="Times New Roman"/>
                <w:sz w:val="20"/>
              </w:rPr>
              <w:t>Frist Gegenschrift NADA/WADA (Answer)</w:t>
            </w:r>
          </w:p>
        </w:tc>
      </w:tr>
      <w:tr>
        <w:tc>
          <w:tcPr>
            <w:tcW w:type="dxa" w:w="4536"/>
          </w:tcPr>
          <w:p>
            <w:r>
              <w:rPr>
                <w:rFonts w:ascii="Times New Roman" w:hAnsi="Times New Roman"/>
                <w:sz w:val="20"/>
              </w:rPr>
              <w:t>Oktober 2026</w:t>
            </w:r>
          </w:p>
        </w:tc>
        <w:tc>
          <w:tcPr>
            <w:tcW w:type="dxa" w:w="4536"/>
          </w:tcPr>
          <w:p>
            <w:r>
              <w:rPr>
                <w:rFonts w:ascii="Times New Roman" w:hAnsi="Times New Roman"/>
                <w:sz w:val="20"/>
              </w:rPr>
              <w:t>Mündliche Verhandlung CAS Lausanne (terminiert)</w:t>
            </w:r>
          </w:p>
        </w:tc>
      </w:tr>
      <w:tr>
        <w:tc>
          <w:tcPr>
            <w:tcW w:type="dxa" w:w="4536"/>
          </w:tcPr>
          <w:p>
            <w:r>
              <w:rPr>
                <w:rFonts w:ascii="Times New Roman" w:hAnsi="Times New Roman"/>
                <w:sz w:val="20"/>
              </w:rPr>
              <w:t>Dezember 2026</w:t>
            </w:r>
          </w:p>
        </w:tc>
        <w:tc>
          <w:tcPr>
            <w:tcW w:type="dxa" w:w="4536"/>
          </w:tcPr>
          <w:p>
            <w:r>
              <w:rPr>
                <w:rFonts w:ascii="Times New Roman" w:hAnsi="Times New Roman"/>
                <w:sz w:val="20"/>
              </w:rPr>
              <w:t>Schiedsspruch CAS (erwartet)</w:t>
            </w:r>
          </w:p>
        </w:tc>
      </w:tr>
    </w:tbl>
    <w:p/>
    <w:p>
      <w:pPr>
        <w:jc w:val="left"/>
      </w:pPr>
      <w:r>
        <w:rPr>
          <w:i/>
        </w:rPr>
        <w:t>Quellen: Schiedsspruch DSGSp 12/26 vom 30.06.2026; NADC 2021 Art. 10.2.2, 10.5.1, 10.5.2; CAS Code R47 ff.; CAS 2016/A/4372 (Halep); CAS 2024/A/9317 (Pawłowski); WADA Anti-Doping Education Framework 2023.</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Das Deutsche Sportschiedsgericht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Das Deutsche Sportschiedsgericht</w:t>
    </w:r>
  </w:p>
  <w:p>
    <w:pPr>
      <w:jc w:val="left"/>
      <w:pBdr>
        <w:bottom w:val="single" w:sz="6" w:space="2" w:color="3B3F45"/>
      </w:pBdr>
    </w:pPr>
    <w:r>
      <w:rPr>
        <w:rFonts w:ascii="Times New Roman" w:hAnsi="Times New Roman"/>
        <w:color w:val="6B6B66"/>
        <w:sz w:val="16"/>
      </w:rPr>
      <w:t>Spruchkammer DSGSp 12/26, hat am 30.06.2026 wie folgt entschieden: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