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— Kündigungsschutzklage ArbG Chemnitz 4 Ca 88/26</w:t>
      </w:r>
    </w:p>
    <w:p>
      <w:pPr>
        <w:jc w:val="left"/>
      </w:pPr>
      <w:r>
        <w:rPr>
          <w:b/>
        </w:rPr>
        <w:t>Erstellt:</w:t>
      </w:r>
      <w:r>
        <w:t xml:space="preserve"> 21.03.2026</w:t>
      </w:r>
    </w:p>
    <w:p>
      <w:pPr>
        <w:jc w:val="left"/>
      </w:pPr>
      <w:r>
        <w:rPr>
          <w:b/>
        </w:rPr>
        <w:t>Bearbeiter:</w:t>
      </w:r>
      <w:r>
        <w:t xml:space="preserve"> RAin Sophie Wenderlich</w:t>
      </w:r>
    </w:p>
    <w:p>
      <w:pPr>
        <w:jc w:val="left"/>
      </w:pPr>
      <w:r>
        <w:rPr>
          <w:b/>
        </w:rPr>
        <w:t>AZ:</w:t>
      </w:r>
      <w:r>
        <w:t xml:space="preserve"> SU/DOPING/2026-001 / ArbG Chemnitz 4 Ca 88/26</w:t>
      </w:r>
    </w:p>
    <w:p/>
    <w:p>
      <w:pPr>
        <w:pStyle w:val="Heading2"/>
      </w:pPr>
      <w:r>
        <w:rPr>
          <w:rFonts w:ascii="Times New Roman" w:hAnsi="Times New Roman"/>
        </w:rPr>
        <w:t>1. Klageschrift (Auszug)</w:t>
      </w:r>
    </w:p>
    <w:p>
      <w:pPr>
        <w:jc w:val="left"/>
      </w:pPr>
      <w:r>
        <w:rPr>
          <w:b/>
        </w:rPr>
        <w:t>Arbeitsgericht Chemnitz</w:t>
      </w:r>
    </w:p>
    <w:p>
      <w:pPr>
        <w:jc w:val="left"/>
      </w:pPr>
      <w:r>
        <w:t>Annaberger Straße 204</w:t>
      </w:r>
    </w:p>
    <w:p>
      <w:pPr>
        <w:jc w:val="left"/>
      </w:pPr>
      <w:r>
        <w:t>09120 Chemnitz</w:t>
      </w:r>
    </w:p>
    <w:p>
      <w:pPr>
        <w:jc w:val="left"/>
      </w:pPr>
      <w:r>
        <w:rPr>
          <w:b/>
        </w:rPr>
        <w:t>Klage</w:t>
      </w:r>
    </w:p>
    <w:p>
      <w:pPr>
        <w:jc w:val="left"/>
      </w:pPr>
      <w:r>
        <w:rPr>
          <w:b/>
        </w:rPr>
        <w:t>Klägerin:</w:t>
      </w:r>
      <w:r>
        <w:t xml:space="preserve"> Selin Uvalkanat, Karl-Marx-Straße 47, 08056 Zwickau</w:t>
      </w:r>
    </w:p>
    <w:p>
      <w:pPr>
        <w:jc w:val="left"/>
      </w:pPr>
      <w:r>
        <w:rPr>
          <w:b/>
        </w:rPr>
        <w:t>Prozessbevollmächtigte:</w:t>
      </w:r>
      <w:r>
        <w:t xml:space="preserve"> RA Prof. Dr. Markus Lentze, Kanzlei Lentze, Stopper &amp; Partner, Kronenstraße 55, 70174 Stuttgart</w:t>
      </w:r>
    </w:p>
    <w:p>
      <w:pPr>
        <w:jc w:val="left"/>
      </w:pPr>
      <w:r>
        <w:rPr>
          <w:b/>
        </w:rPr>
        <w:t>Beklagter:</w:t>
      </w:r>
      <w:r>
        <w:t xml:space="preserve"> BSV Sachsen Zwickau e.V., Am Scheffelberg 3, 08056 Zwickau</w:t>
      </w:r>
    </w:p>
    <w:p>
      <w:pPr>
        <w:jc w:val="left"/>
      </w:pPr>
      <w:r>
        <w:t>vertreten durch den Vorstand: Volker Bernstein (1. Vorsitzender)</w:t>
      </w:r>
    </w:p>
    <w:p>
      <w:pPr>
        <w:jc w:val="left"/>
      </w:pPr>
      <w:r>
        <w:rPr>
          <w:b/>
        </w:rPr>
        <w:t>Streitwert:</w:t>
      </w:r>
      <w:r>
        <w:t xml:space="preserve"> 37.200 EUR (3 Bruttomonatsgehälter × 6 Monate Restlaufzeit äquivalent, nach Richtwert § 42 Abs. 2 GKG: 3 Monatsentgelte)</w:t>
      </w:r>
    </w:p>
    <w:p/>
    <w:p>
      <w:pPr>
        <w:pStyle w:val="Heading3"/>
      </w:pPr>
      <w:r>
        <w:rPr>
          <w:rFonts w:ascii="Times New Roman" w:hAnsi="Times New Roman"/>
        </w:rPr>
        <w:t>Anträge</w:t>
      </w:r>
    </w:p>
    <w:p>
      <w:pPr>
        <w:pStyle w:val="ListNumber"/>
      </w:pPr>
      <w:r>
        <w:t>Es wird festgestellt, dass das Arbeitsverhältnis der Parteien durch die außerordentliche Kündigung des Beklagten vom 12.03.2026 nicht aufgelöst worden ist.</w:t>
      </w:r>
    </w:p>
    <w:p>
      <w:pPr>
        <w:pStyle w:val="ListNumber"/>
      </w:pPr>
      <w:r>
        <w:t>Der Beklagte wird verurteilt, die Klägerin bis zur rechtskräftigen Beendigung des Rechtsstreits als Handball-Bundesliga-Spielerin (Linksaußen) zu den bisherigen Bedingungen des Arbeitsvertrages vom 01.07.2024 weiterzubeschäftigen, soweit die vorläufige Suspendierung durch die NADA nicht entgegensteht.</w:t>
      </w:r>
    </w:p>
    <w:p>
      <w:pPr>
        <w:pStyle w:val="ListNumber"/>
      </w:pPr>
      <w:r>
        <w:t>Der Beklagte wird verurteilt, an die Klägerin seit 13.03.2026 auflaufenden Annahmeverzugslohn in Höhe von jeweils 6.200 EUR brutto monatlich nebst Zinsen in Höhe von 5 Prozentpunkten über dem Basiszinssatz seit jeweiliger Fälligkeit zu zahlen.</w:t>
      </w:r>
    </w:p>
    <w:p>
      <w:pPr>
        <w:pStyle w:val="ListNumber"/>
      </w:pPr>
      <w:r>
        <w:t>Die Kosten des Rechtsstreits trägt der Beklagte.</w:t>
      </w:r>
    </w:p>
    <w:p/>
    <w:p>
      <w:pPr>
        <w:pStyle w:val="Heading3"/>
      </w:pPr>
      <w:r>
        <w:rPr>
          <w:rFonts w:ascii="Times New Roman" w:hAnsi="Times New Roman"/>
        </w:rPr>
        <w:t>Begründung</w:t>
      </w:r>
    </w:p>
    <w:p>
      <w:pPr>
        <w:pStyle w:val="Heading3"/>
      </w:pPr>
      <w:r>
        <w:rPr>
          <w:rFonts w:ascii="Times New Roman" w:hAnsi="Times New Roman"/>
        </w:rPr>
        <w:t>I. Sachverhalt</w:t>
      </w:r>
    </w:p>
    <w:p>
      <w:pPr>
        <w:jc w:val="left"/>
      </w:pPr>
      <w:r>
        <w:t>Die Klägerin ist seit dem 01.07.2019 beim Beklagten beschäftigt. Zum 01.07.2024 wurde ihr Arbeitsvertrag zuletzt bis zum 30.06.2028 verlängert (Bruttogehalt: 6.200 EUR/Monat). Am 12.03.2026 kündigte der Beklagte das Arbeitsverhältnis außerordentlich nach § 626 BGB wegen eines positiven Dopingbefundes bei der Trainingskontrolle vom 18.02.2026.</w:t>
      </w:r>
    </w:p>
    <w:p>
      <w:pPr>
        <w:pStyle w:val="Heading3"/>
      </w:pPr>
      <w:r>
        <w:rPr>
          <w:rFonts w:ascii="Times New Roman" w:hAnsi="Times New Roman"/>
        </w:rPr>
        <w:t>II. Rechtliche Würdigung</w:t>
      </w:r>
    </w:p>
    <w:p>
      <w:pPr>
        <w:jc w:val="left"/>
      </w:pPr>
      <w:r>
        <w:rPr>
          <w:b/>
        </w:rPr>
        <w:t>A. Kein wichtiger Grund</w:t>
      </w:r>
    </w:p>
    <w:p>
      <w:pPr>
        <w:jc w:val="left"/>
      </w:pPr>
      <w:r>
        <w:t>Zum Zeitpunkt der Kündigung lagen keine hinreichenden Tatsachen für einen wichtigen Grund i.S.d. § 626 Abs. 1 BGB vor. Zwar bestand ein positiver Dopingbefund; jedoch ist dieser Befund kein rechtskräftiges Disziplinarurteil. Die Klägerin bestreitet ausdrücklich und substantiiert jeden Vorsatz. Die von ihr dargelegte Kontaminationsthese — die durch das Analyselabor LGC Standards Hamburg (Bericht Nr. LGC-2026-0310-4188) bereits Bestätigung gefunden hat — macht die außerordentliche Kündigung unverhältnismäßig.</w:t>
      </w:r>
    </w:p>
    <w:p>
      <w:pPr>
        <w:jc w:val="left"/>
      </w:pPr>
      <w:r>
        <w:t>Nach der ständigen Rechtsprechung des Bundesarbeitsgerichts (BAG, Urt. 06.08.1987, Az. 2 AZR 226/87; Urt. 12.11.1998, Az. 2 AZR 614/97) rechtfertigt der bloße Verdacht eines Dopingverstoßes — ohne rechtskräftige Entscheidung der zuständigen Anti-Doping-Instanz — keine außerordentliche Kündigung, wenn der Arbeitnehmer den Vorwurf glaubhaft und substantiiert bestreitet.</w:t>
      </w:r>
    </w:p>
    <w:p>
      <w:pPr>
        <w:jc w:val="left"/>
      </w:pPr>
      <w:r>
        <w:rPr>
          <w:b/>
        </w:rPr>
        <w:t>B. Interessenabwägung</w:t>
      </w:r>
    </w:p>
    <w:p>
      <w:pPr>
        <w:jc w:val="left"/>
      </w:pPr>
      <w:r>
        <w:t>Die gebotene Interessenabwägung fällt zu Lasten des Beklagten aus:</w:t>
      </w:r>
    </w:p>
    <w:p>
      <w:pPr>
        <w:jc w:val="left"/>
      </w:pPr>
      <w:r>
        <w:t>Auf Seiten der Klägerin: 7-jährige untadelige Vereinsbindung seit U17; keine Dopingvorgeschichte (6 negative Kontrollen); Beinahe-Schwellenwertüberschreitung von nur 8 %; nachgewiesene Kontaminationsquelle; erhebliche wirtschaftliche Schäden durch Kündigung.</w:t>
      </w:r>
    </w:p>
    <w:p>
      <w:pPr>
        <w:jc w:val="left"/>
      </w:pPr>
      <w:r>
        <w:t>Auf Seiten des Beklagten: Reputationsinteresse; Spielunverfügbarkeit durch Suspendierung. Diese Interessen überwiegen nicht, zumal der Beklagte die vorläufige Suspendierung ohnehin hinzunehmen hätte — eine Kündigung ist insoweit kein Mehrwert.</w:t>
      </w:r>
    </w:p>
    <w:p>
      <w:pPr>
        <w:jc w:val="left"/>
      </w:pPr>
      <w:r>
        <w:rPr>
          <w:b/>
        </w:rPr>
        <w:t>C. Annahmeverzug § 615 BGB</w:t>
      </w:r>
    </w:p>
    <w:p>
      <w:pPr>
        <w:jc w:val="left"/>
      </w:pPr>
      <w:r>
        <w:t>Der Beklagte befindet sich seit Ablauf der Kündigungsfrist (14.03.2026, weil außerordentlich: sofortige Wirkung ab 12.03.2026; somit ab 13.03.2026) in Annahmeverzug nach § 293 BGB i.V.m. § 615 BGB. Die Klägerin muss sich weder die Leistung von Sozialleistungen noch eigene Erwerbstätigkeit anrechnen lassen (§ 615 Satz 2 BGB — kein böswilliges Unterlassen).</w:t>
      </w:r>
    </w:p>
    <w:p/>
    <w:p>
      <w:pPr>
        <w:pStyle w:val="Heading2"/>
      </w:pPr>
      <w:r>
        <w:rPr>
          <w:rFonts w:ascii="Times New Roman" w:hAnsi="Times New Roman"/>
        </w:rPr>
        <w:t>2. Gütetermin — 18.06.2026</w:t>
      </w:r>
    </w:p>
    <w:p>
      <w:pPr>
        <w:jc w:val="left"/>
      </w:pPr>
      <w:r>
        <w:t>Gütetermin vor dem Arbeitsgericht Chemnitz: 18.06.2026, 10:30 Uhr, Saal 4.</w:t>
      </w:r>
    </w:p>
    <w:p>
      <w:pPr>
        <w:jc w:val="left"/>
      </w:pPr>
      <w:r>
        <w:t>Beisitzerin: Richterin Dr. Sabine Hoffmann.</w:t>
      </w:r>
    </w:p>
    <w:p>
      <w:pPr>
        <w:jc w:val="left"/>
      </w:pPr>
      <w:r>
        <w:t>BSV vertreten durch RAin Claudia Sprenger (Leipzig).</w:t>
      </w:r>
    </w:p>
    <w:p>
      <w:pPr>
        <w:jc w:val="left"/>
      </w:pPr>
      <w:r>
        <w:rPr>
          <w:b/>
        </w:rPr>
        <w:t>Ergebnis:</w:t>
      </w:r>
      <w:r>
        <w:t xml:space="preserve"> Güteversuch gescheitert. BSV besteht auf Wirksamkeit der Kündigung. Weitergehend: BSV beruft sich auf Sonderklausel Abs. 7 des Arbeitsvertrages.</w:t>
      </w:r>
    </w:p>
    <w:p/>
    <w:p>
      <w:pPr>
        <w:pStyle w:val="Heading2"/>
      </w:pPr>
      <w:r>
        <w:rPr>
          <w:rFonts w:ascii="Times New Roman" w:hAnsi="Times New Roman"/>
        </w:rPr>
        <w:t>3. Kammertermin — geplant Oktober 2026</w:t>
      </w:r>
    </w:p>
    <w:p>
      <w:pPr>
        <w:jc w:val="left"/>
      </w:pPr>
      <w:r>
        <w:t>Kammertermin voraussichtlich Oktober 2026. Voraussichtlich wird das ArbG Chemnitz das Verfahren bis zur Entscheidung des CAS aussetzen (§ 148 ZPO i.V.m. § 46 Abs. 2 ArbGG), da die Frage des wichtigen Grundes von der Entscheidung des CAS abhängt.</w:t>
      </w:r>
    </w:p>
    <w:p>
      <w:pPr>
        <w:jc w:val="left"/>
      </w:pPr>
      <w:r>
        <w:rPr>
          <w:b/>
        </w:rPr>
        <w:t>Prozessrisiko-Bewertung:</w:t>
      </w:r>
    </w:p>
    <w:p>
      <w:pPr>
        <w:pStyle w:val="ListBullet"/>
      </w:pPr>
      <w:r>
        <w:t>Obsiegen bei Art. 10.5.2-Freispruch durch CAS: hoch (kein ADRV rechtskräftig → kein wichtiger Grund)</w:t>
      </w:r>
    </w:p>
    <w:p>
      <w:pPr>
        <w:pStyle w:val="ListBullet"/>
      </w:pPr>
      <w:r>
        <w:t>Obsiegen bei 8-Monate-Sperre: möglich (Interessenabwägung zugunsten Klägerin; Restlaufzeit bis 2028 intakt)</w:t>
      </w:r>
    </w:p>
    <w:p>
      <w:pPr>
        <w:pStyle w:val="ListBullet"/>
      </w:pPr>
      <w:r>
        <w:t>Unterliegen bei 2-Jahres-Sperre: Kündigung wahrscheinlich wirksam (§ 7 Abs. 7 Arbeitsvertrag greift bei &gt; 6 Monate Sperre)</w:t>
      </w:r>
    </w:p>
    <w:p/>
    <w:p>
      <w:pPr>
        <w:pStyle w:val="Heading2"/>
      </w:pPr>
      <w:r>
        <w:rPr>
          <w:rFonts w:ascii="Times New Roman" w:hAnsi="Times New Roman"/>
        </w:rPr>
        <w:t>4. Abfindungsverhandlung — Überlegungen</w:t>
      </w:r>
    </w:p>
    <w:p>
      <w:pPr>
        <w:jc w:val="left"/>
      </w:pPr>
      <w:r>
        <w:t>Falls das ArbG Chemnitz die Kündigung für wirksam hält oder der CAS-Schiedsspruch ungünstig ausfällt, kommt eine Abfindungslösung in Betracht. BSV-Anwältin Sprenger hat am Rande des Gütegesprächs 15.000 EUR Abfindung angedeutet. Dies ist deutlich zu niedrig. Realistischer Korridor: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Berechnung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Basis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Abfindung nach § 1a KSchG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0,5 × 7 Jahre × 6.200 EUR = 21.700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Annahmeverzugslohn (März–Oktober 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 × 6.200 EUR = 43.400 EUR brutto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Summe Gesamtforderung (bei Unwirksamkeit)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mind. 65.100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Vergleichsangebot unsererseits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50.000 EUR</w:t>
            </w:r>
          </w:p>
        </w:tc>
      </w:tr>
    </w:tbl>
    <w:p/>
    <w:p>
      <w:pPr>
        <w:jc w:val="left"/>
      </w:pPr>
      <w:r>
        <w:rPr>
          <w:i/>
        </w:rPr>
        <w:t>Quellen: § 626 BGB; §§ 293, 615 BGB (Annahmeverzug); § 4 KSchG; § 9 KSchG; § 42 Abs. 2 GKG; § 148 ZPO; BAG, Urt. 06.08.1987, Az. 2 AZR 226/87; BAG, Urt. 12.11.1998, Az. 2 AZR 614/97.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Arbeitsgericht Chemnitz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Arbeitsgericht Chemnitz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4 Ca 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