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Klage LG Berlin 27 O 411/26: Unterlassung und Geldentschädigung</w:t>
      </w:r>
    </w:p>
    <w:p>
      <w:pPr>
        <w:jc w:val="left"/>
      </w:pPr>
      <w:r>
        <w:rPr>
          <w:b/>
        </w:rPr>
        <w:t>Erstellt:</w:t>
      </w:r>
      <w:r>
        <w:t xml:space="preserve"> 12.04.2026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</w:t>
      </w:r>
    </w:p>
    <w:p>
      <w:pPr>
        <w:jc w:val="left"/>
      </w:pPr>
      <w:r>
        <w:rPr>
          <w:b/>
        </w:rPr>
        <w:t>AZ:</w:t>
      </w:r>
      <w:r>
        <w:t xml:space="preserve"> SU/DOPING/2026-001 / LG Berlin 27 O 411/26</w:t>
      </w:r>
    </w:p>
    <w:p/>
    <w:p>
      <w:pPr>
        <w:pStyle w:val="Heading2"/>
      </w:pPr>
      <w:r>
        <w:rPr>
          <w:rFonts w:ascii="Times New Roman" w:hAnsi="Times New Roman"/>
        </w:rPr>
        <w:t>1. Einstweilige Verfügung (10.04.2026)</w:t>
      </w:r>
    </w:p>
    <w:p>
      <w:pPr>
        <w:jc w:val="left"/>
      </w:pPr>
      <w:r>
        <w:t xml:space="preserve">Das Landgericht Berlin, 27. Zivilkammer (Pressekammer), erließ am </w:t>
      </w:r>
      <w:r>
        <w:rPr>
          <w:b/>
        </w:rPr>
        <w:t>10.04.2026</w:t>
      </w:r>
      <w:r>
        <w:t xml:space="preserve"> ohne mündliche Verhandlung folgende einstweilige Verfügung:</w:t>
      </w:r>
    </w:p>
    <w:p>
      <w:pPr>
        <w:jc w:val="left"/>
      </w:pPr>
      <w:r>
        <w:rPr>
          <w:b/>
        </w:rPr>
        <w:t>LG Berlin, Az. 27 O 411/26</w:t>
      </w:r>
    </w:p>
    <w:p>
      <w:pPr>
        <w:jc w:val="left"/>
      </w:pPr>
      <w:r>
        <w:rPr>
          <w:b/>
        </w:rPr>
        <w:t>Beschluss (einstweilige Verfügung)</w:t>
      </w:r>
    </w:p>
    <w:p>
      <w:pPr>
        <w:jc w:val="left"/>
      </w:pPr>
      <w:r>
        <w:t xml:space="preserve">Der Antragsgegnerin (Axel Springer SE, Axel-Springer-Straße 65, 10888 Berlin) wird bei Meidung eines Ordnungsgeldes bis zu </w:t>
      </w:r>
      <w:r>
        <w:rPr>
          <w:b/>
        </w:rPr>
        <w:t>250.000 EUR</w:t>
      </w:r>
      <w:r>
        <w:t>, ersatzweise Ordnungshaft bis zu sechs Monaten, untersagt:</w:t>
      </w:r>
    </w:p>
    <w:p>
      <w:pPr>
        <w:jc w:val="left"/>
      </w:pPr>
      <w:r>
        <w:rPr>
          <w:b/>
        </w:rPr>
        <w:t>1.</w:t>
      </w:r>
      <w:r>
        <w:t xml:space="preserve"> Die Antragstellerin (Selin Uvalkanat) mit der Bezeichnung „Doping-Selin" oder gleichsinnigen Attributen zu bezeichnen, die eine willentliche Dopingeinnahme oder eine rechtskräftig festgestellte Dopingverletzung suggerieren.</w:t>
      </w:r>
    </w:p>
    <w:p>
      <w:pPr>
        <w:jc w:val="left"/>
      </w:pPr>
      <w:r>
        <w:rPr>
          <w:b/>
        </w:rPr>
        <w:t>2.</w:t>
      </w:r>
      <w:r>
        <w:t xml:space="preserve"> Die Behauptung zu verbreiten, die Antragstellerin sei „des Dopings überführt" oder „habe Meldonium genommen", soweit dies als Tatsachenbehauptung und nicht als erkennbarer Verdacht formuliert wird.</w:t>
      </w:r>
    </w:p>
    <w:p>
      <w:pPr>
        <w:jc w:val="left"/>
      </w:pPr>
      <w:r>
        <w:rPr>
          <w:b/>
        </w:rPr>
        <w:t>3.</w:t>
      </w:r>
      <w:r>
        <w:t xml:space="preserve"> Das Lichtbild der Antragstellerin (DHB-Pressefoto, Saison 2024/25) im Kontext von Berichterstattungen zu verwenden, die eine absichtliche Dopingeinnahme nahelegen.</w:t>
      </w:r>
    </w:p>
    <w:p>
      <w:pPr>
        <w:jc w:val="left"/>
      </w:pPr>
      <w:r>
        <w:rPr>
          <w:i/>
        </w:rPr>
        <w:t>Gez. Vorsitzende Richterin Dr. Petra Helbig, 27. Zivilkammer LG Berlin</w:t>
      </w:r>
    </w:p>
    <w:p/>
    <w:p>
      <w:pPr>
        <w:pStyle w:val="Heading2"/>
      </w:pPr>
      <w:r>
        <w:rPr>
          <w:rFonts w:ascii="Times New Roman" w:hAnsi="Times New Roman"/>
        </w:rPr>
        <w:t>2. Widerspruch der Axel Springer SE</w:t>
      </w:r>
    </w:p>
    <w:p>
      <w:pPr>
        <w:jc w:val="left"/>
      </w:pPr>
      <w:r>
        <w:t>Axel Springer SE legte am 24.04.2026 durch ihre Anwälte (Pottwitz Stinkmorchel &amp; Eulenspiegel LLP, Berlin) Widerspruch gegen die einstweilige Verfügung ein. Begründung:</w:t>
      </w:r>
    </w:p>
    <w:p>
      <w:pPr>
        <w:jc w:val="left"/>
      </w:pPr>
      <w:r>
        <w:rPr>
          <w:b/>
        </w:rPr>
        <w:t>Zur Bezeichnung „Doping-Selin":</w:t>
      </w:r>
    </w:p>
    <w:p>
      <w:pPr>
        <w:jc w:val="left"/>
      </w:pPr>
      <w:r>
        <w:t xml:space="preserve">Axel Springer beruft sich auf die </w:t>
      </w:r>
      <w:r>
        <w:rPr>
          <w:b/>
        </w:rPr>
        <w:t>Pressefreiheit</w:t>
      </w:r>
      <w:r>
        <w:t xml:space="preserve"> (Art. 5 GG). Der Begriff „Doping-Selin" sei eine zulässige Kurzbezeichnung im Rahmen einer von tatsächlichem AAF gedeckten Berichterstattung. Die Schlagzeile habe kenntlich gemacht, dass ein Dopingbefund vorliegt — was unbestreitbar wahr sei.</w:t>
      </w:r>
    </w:p>
    <w:p>
      <w:pPr>
        <w:jc w:val="left"/>
      </w:pPr>
      <w:r>
        <w:rPr>
          <w:b/>
        </w:rPr>
        <w:t>Zur Vorverurteilung:</w:t>
      </w:r>
    </w:p>
    <w:p>
      <w:pPr>
        <w:jc w:val="left"/>
      </w:pPr>
      <w:r>
        <w:t>Die Formulierung „des Dopings überführt?" sei als Frage zu verstehen und stelle keine Tatsachenbehauptung dar. Das Fragezeichen signalisiere Offenheit des Verfahrens.</w:t>
      </w:r>
    </w:p>
    <w:p>
      <w:pPr>
        <w:jc w:val="left"/>
      </w:pPr>
      <w:r>
        <w:rPr>
          <w:b/>
        </w:rPr>
        <w:t>Zu den Insiderberichten:</w:t>
      </w:r>
    </w:p>
    <w:p>
      <w:pPr>
        <w:jc w:val="left"/>
      </w:pPr>
      <w:r>
        <w:t>Es sei gängige journalistische Praxis, auf anonyme Quellen zu verweisen. Die Quelle sei verlässlich (Details werden Gericht gegenüber offenbart).</w:t>
      </w:r>
    </w:p>
    <w:p/>
    <w:p>
      <w:pPr>
        <w:pStyle w:val="Heading2"/>
      </w:pPr>
      <w:r>
        <w:rPr>
          <w:rFonts w:ascii="Times New Roman" w:hAnsi="Times New Roman"/>
        </w:rPr>
        <w:t>3. Mündliche Verhandlung LG Berlin — 22.05.2026</w:t>
      </w:r>
    </w:p>
    <w:p>
      <w:pPr>
        <w:pStyle w:val="Heading3"/>
      </w:pPr>
      <w:r>
        <w:rPr>
          <w:rFonts w:ascii="Times New Roman" w:hAnsi="Times New Roman"/>
        </w:rPr>
        <w:t>3.1 Verhandlungsverlauf (Protokoll-Auszug)</w:t>
      </w:r>
    </w:p>
    <w:p>
      <w:pPr>
        <w:jc w:val="left"/>
      </w:pPr>
      <w:r>
        <w:rPr>
          <w:b/>
        </w:rPr>
        <w:t>Vorsitzende Richterin Dr. Helbig:</w:t>
      </w:r>
      <w:r>
        <w:t xml:space="preserve"> „Meine Herren, die Kammer hat die einstweilige Verfügung auf Grundlage der eingereichten Unterlagen erlassen. Wir sind der Auffassung, dass ‚Doping-Selin' eine Vorverurteilung darstellt, die angesichts des noch laufenden Verfahrens rechtswidrig ist. Das gilt selbst wenn ein AAF vorliegt — denn AAF ist nicht gleich ADRV."</w:t>
      </w:r>
    </w:p>
    <w:p>
      <w:pPr>
        <w:jc w:val="left"/>
      </w:pPr>
      <w:r>
        <w:rPr>
          <w:b/>
        </w:rPr>
        <w:t>Pottwitz Stinkmorchel (Axel Springer):</w:t>
      </w:r>
      <w:r>
        <w:t xml:space="preserve"> „Der BGH hat in Entscheidungen zur Verdachtsberichterstattung immer betont, dass bei einem nachgewiesenen tatsächlichen Befund — und ein Laborergebnis ist ein tatsächlicher Befund — die Berichterstattung zulässig ist."</w:t>
      </w:r>
    </w:p>
    <w:p>
      <w:pPr>
        <w:jc w:val="left"/>
      </w:pPr>
      <w:r>
        <w:rPr>
          <w:b/>
        </w:rPr>
        <w:t>Prof. Dr. Lentze:</w:t>
      </w:r>
      <w:r>
        <w:t xml:space="preserve"> „Das verwechselt Sachverhalt und Wertung. Ein positiver Laborwert ist noch kein Dopingverstoß — schon gar nicht kein rechtskräftiger. Die Kammer weiß, dass selbst Athleten, die nachher freigesprochen wurden, als 'Doper' bezeichnet wurden — das ist genau der Fall, den § 1004 BGB verhindern soll."</w:t>
      </w:r>
    </w:p>
    <w:p>
      <w:pPr>
        <w:jc w:val="left"/>
      </w:pPr>
      <w:r>
        <w:rPr>
          <w:b/>
        </w:rPr>
        <w:t>Richterliche Würdigung:</w:t>
      </w:r>
      <w:r>
        <w:t xml:space="preserve"> Die Kammer ließ anklingen, dass sie an der Verfügung festhalten will, jedoch die Abgrenzung zwischen zulässiger Verdachtsberichterstattung und unzulässiger Vorverurteilung im Urteil präzisieren wird.</w:t>
      </w:r>
    </w:p>
    <w:p>
      <w:pPr>
        <w:pStyle w:val="Heading3"/>
      </w:pPr>
      <w:r>
        <w:rPr>
          <w:rFonts w:ascii="Times New Roman" w:hAnsi="Times New Roman"/>
        </w:rPr>
        <w:t>3.2 Ergebnis</w:t>
      </w:r>
    </w:p>
    <w:p>
      <w:pPr>
        <w:jc w:val="left"/>
      </w:pPr>
      <w:r>
        <w:t>Kammer bestätigte einstweilige Verfügung in den Punkten 1 und 2, modifizierte Punkt 3 (Foto): Nutzung mit sachlicher Bebilderung (neutrales Sportfoto, nicht im diffamierenden Kontext) bleibt zulässig.</w:t>
      </w:r>
    </w:p>
    <w:p/>
    <w:p>
      <w:pPr>
        <w:pStyle w:val="Heading2"/>
      </w:pPr>
      <w:r>
        <w:rPr>
          <w:rFonts w:ascii="Times New Roman" w:hAnsi="Times New Roman"/>
        </w:rPr>
        <w:t>4. Hauptsache — Geldentschädigungsklage</w:t>
      </w:r>
    </w:p>
    <w:p>
      <w:pPr>
        <w:jc w:val="left"/>
      </w:pPr>
      <w:r>
        <w:t xml:space="preserve">Nach Abschluss des einstweiligen Verfügungsverfahrens legte die Kanzlei am </w:t>
      </w:r>
      <w:r>
        <w:rPr>
          <w:b/>
        </w:rPr>
        <w:t>10.06.2026</w:t>
      </w:r>
      <w:r>
        <w:t xml:space="preserve"> die Hauptsacheklage vor dem LG Berlin ein.</w:t>
      </w:r>
    </w:p>
    <w:p>
      <w:pPr>
        <w:jc w:val="left"/>
      </w:pPr>
      <w:r>
        <w:rPr>
          <w:b/>
        </w:rPr>
        <w:t>Streitwert:</w:t>
      </w:r>
      <w:r>
        <w:t xml:space="preserve"> 75.000 EUR</w:t>
      </w:r>
    </w:p>
    <w:p>
      <w:pPr>
        <w:jc w:val="left"/>
      </w:pPr>
      <w:r>
        <w:rPr>
          <w:b/>
        </w:rPr>
        <w:t>Klageantrag:</w:t>
      </w:r>
      <w:r>
        <w:t xml:space="preserve"> Zahlung einer Geldentschädigung wegen schwerwiegender APR-Verletzung i.H.v. mind. 50.000 EUR.</w:t>
      </w:r>
    </w:p>
    <w:p>
      <w:pPr>
        <w:jc w:val="left"/>
      </w:pPr>
      <w:r>
        <w:rPr>
          <w:b/>
        </w:rPr>
        <w:t>Klagebegründung (Kernaussagen):</w:t>
      </w:r>
    </w:p>
    <w:p>
      <w:pPr>
        <w:pStyle w:val="ListNumber"/>
      </w:pPr>
      <w:r>
        <w:t>Die BILD-Berichterstattung vom 14.03.2026 erreichte nach Axel-Springer-eigenen Angaben einen Online-Reach von über 1,2 Millionen Unique Users innerhalb von 24 Stunden. Eine solch massive, bundesweite Diffamierung mit falscher Tatsachenbehauptung (willentliche Dopingeinnahme) begründet einen Anspruch auf Geldentschädigung nach der Caroline-Linie des BGH.</w:t>
      </w:r>
    </w:p>
    <w:p>
      <w:pPr>
        <w:pStyle w:val="ListNumber"/>
      </w:pPr>
      <w:r>
        <w:t>Die Mandantin hat durch die Berichterstattung erhebliche psychische Beeinträchtigungen erlitten (Attest Dr. Böhm: schwere Schlafstörungen, Angstattacken, sozialer Rückzug — behandlungsbedürftig seit 14.03.2026). Die Sportpsychologin behandelt zweimal wöchentlich.</w:t>
      </w:r>
    </w:p>
    <w:p>
      <w:pPr>
        <w:pStyle w:val="ListNumber"/>
      </w:pPr>
      <w:r>
        <w:t>Der Abschreckungseffekt (Präventionsfunktion) der Geldentschädigung erfordert einen spürbaren Betrag, der über einen symbolischen Wert hinausgeht. Vergleichsfall BGH, Urt. 24.11.2009 — VI ZR 219/08: 5.000 EUR bei Schlagzeile über Privatperson. Für einen deutlich größeren Reichweite-Fall mit nachweisbarer Karrierebeeinträchtigung sind 50.000 EUR angemessen.</w:t>
      </w:r>
    </w:p>
    <w:p/>
    <w:p>
      <w:pPr>
        <w:pStyle w:val="Heading2"/>
      </w:pPr>
      <w:r>
        <w:rPr>
          <w:rFonts w:ascii="Times New Roman" w:hAnsi="Times New Roman"/>
        </w:rPr>
        <w:t>5. Vergleichsüberlegungen</w:t>
      </w:r>
    </w:p>
    <w:p>
      <w:pPr>
        <w:jc w:val="left"/>
      </w:pPr>
      <w:r>
        <w:t xml:space="preserve">Im Güteversuch (25.06.2026) hat Axel Springer SE über Pottwitz Stinkmorchel 20.000 EUR Vergleich angeboten. Dies ist zu niedrig. Unsere Mindestforderung: </w:t>
      </w:r>
      <w:r>
        <w:rPr>
          <w:b/>
        </w:rPr>
        <w:t>35.000 EUR</w:t>
      </w:r>
      <w:r>
        <w:t xml:space="preserve"> plus Übernahme Anwaltskosten und Übernahme Kosten einstweilige Verfügung. Verhandlungen laufen.</w:t>
      </w:r>
    </w:p>
    <w:p/>
    <w:p>
      <w:pPr>
        <w:pStyle w:val="Heading2"/>
      </w:pPr>
      <w:r>
        <w:rPr>
          <w:rFonts w:ascii="Times New Roman" w:hAnsi="Times New Roman"/>
        </w:rPr>
        <w:t>6. Gegendarstellung — Nachbesserungsklage</w:t>
      </w:r>
    </w:p>
    <w:p>
      <w:pPr>
        <w:jc w:val="left"/>
      </w:pPr>
      <w:r>
        <w:t>Da die Gegendarstellung vom 19.03.2026 unzureichend platziert war (§ 11 BerlPresseG fordert gleichwertige Platzierung), wird zusätzlich Klage auf erneute Veröffentlichung der Gegendarstellung mit adäquater Hervorhebung eingereicht.</w:t>
      </w:r>
    </w:p>
    <w:p/>
    <w:p>
      <w:pPr>
        <w:jc w:val="left"/>
      </w:pPr>
      <w:r>
        <w:rPr>
          <w:i/>
        </w:rPr>
        <w:t>Quellen: § 823 Abs. 1 BGB; § 1004 BGB; Art. 1 Abs. 1, 2 Abs. 1 GG; Art. 5 GG; §§ 22, 23 KUG; §§ 10, 11 BerlPresseG; BGH NJW 2014, 2029 (Geldentschädigung APR); BGH, Urt. 24.11.2009, VI ZR 219/08; BGH NJW 2016, 789 (Verdachtsberichterstattung).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Berlin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Berlin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27. Zivilkammer (Pressekammer), erließ am 10.04.2026 ohne mündliche Verhandlung folgende einstweilige Verfügung: · 27 O 411/26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