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20 — ICC-Schiedsverfahren Zürich 28-2026/SPO: Adidas-Streit</w:t>
      </w:r>
    </w:p>
    <w:p>
      <w:pPr>
        <w:jc w:val="left"/>
      </w:pPr>
      <w:r>
        <w:rPr>
          <w:b/>
        </w:rPr>
        <w:t>Erstellt:</w:t>
      </w:r>
      <w:r>
        <w:t xml:space="preserve"> 25.04.2026</w:t>
      </w:r>
    </w:p>
    <w:p>
      <w:pPr>
        <w:jc w:val="left"/>
      </w:pPr>
      <w:r>
        <w:rPr>
          <w:b/>
        </w:rPr>
        <w:t>Bearbeiter:</w:t>
      </w:r>
      <w:r>
        <w:t xml:space="preserve"> RA Prof. Dr. Markus Lentze</w:t>
      </w:r>
    </w:p>
    <w:p>
      <w:pPr>
        <w:jc w:val="left"/>
      </w:pPr>
      <w:r>
        <w:rPr>
          <w:b/>
        </w:rPr>
        <w:t>AZ:</w:t>
      </w:r>
      <w:r>
        <w:t xml:space="preserve"> SU/DOPING/2026-001 / ICC Zürich 28-2026/SPO</w:t>
      </w:r>
    </w:p>
    <w:p/>
    <w:p>
      <w:pPr>
        <w:pStyle w:val="Heading2"/>
      </w:pPr>
      <w:r>
        <w:rPr>
          <w:rFonts w:ascii="Times New Roman" w:hAnsi="Times New Roman"/>
        </w:rPr>
        <w:t>1. Die ICC als Schiedsgerichtsinstitution</w:t>
      </w:r>
    </w:p>
    <w:p>
      <w:pPr>
        <w:jc w:val="left"/>
      </w:pPr>
      <w:r>
        <w:t xml:space="preserve">Die </w:t>
      </w:r>
      <w:r>
        <w:rPr>
          <w:b/>
        </w:rPr>
        <w:t>International Chamber of Commerce (ICC)</w:t>
      </w:r>
      <w:r>
        <w:t xml:space="preserve"> mit Sitz in Paris betreibt den weltweit bekanntesten Schiedsgerichtshof (ICC Court of Arbitration). Die ICC-Schiedsordnung (ICC Rules of Arbitration 2021) gilt als besonders geeignet für internationale Handels- und Vertragstreitigkeiten.</w:t>
      </w:r>
    </w:p>
    <w:p>
      <w:pPr>
        <w:jc w:val="left"/>
      </w:pPr>
      <w:r>
        <w:rPr>
          <w:b/>
        </w:rPr>
        <w:t>Schweizer Schiedsort:</w:t>
      </w:r>
      <w:r>
        <w:t xml:space="preserve"> Im vorliegenden Fall ist Zürich als Schiedsort vereinbart. Dies hat folgende Konsequenzen:</w:t>
      </w:r>
    </w:p>
    <w:p>
      <w:pPr>
        <w:pStyle w:val="ListBullet"/>
      </w:pPr>
      <w:r>
        <w:t>Lex loci arbitri: Schweizerisches Privatrecht (IPRG Kapitel 12) regelt die Formfragen des Schiedsverfahrens</w:t>
      </w:r>
    </w:p>
    <w:p>
      <w:pPr>
        <w:pStyle w:val="ListBullet"/>
      </w:pPr>
      <w:r>
        <w:t>Angreifbar beim Schweizerischen Bundesgericht (Art. 190 IPRG)</w:t>
      </w:r>
    </w:p>
    <w:p>
      <w:pPr>
        <w:pStyle w:val="ListBullet"/>
      </w:pPr>
      <w:r>
        <w:t>Materiell deutsches Recht anwendbar (Parteiwahl)</w:t>
      </w:r>
    </w:p>
    <w:p/>
    <w:p>
      <w:pPr>
        <w:pStyle w:val="Heading2"/>
      </w:pPr>
      <w:r>
        <w:rPr>
          <w:rFonts w:ascii="Times New Roman" w:hAnsi="Times New Roman"/>
        </w:rPr>
        <w:t>2. Schiedsverfahren — Verfahrensgang</w:t>
      </w:r>
    </w:p>
    <w:p>
      <w:pPr>
        <w:pStyle w:val="Heading3"/>
      </w:pPr>
      <w:r>
        <w:rPr>
          <w:rFonts w:ascii="Times New Roman" w:hAnsi="Times New Roman"/>
        </w:rPr>
        <w:t>2.1 Klage Adidas (18.04.2026)</w:t>
      </w:r>
    </w:p>
    <w:p>
      <w:pPr>
        <w:jc w:val="left"/>
      </w:pPr>
      <w:r>
        <w:t>Adidas hat als Klägerin folgende Anträge gestellt:</w:t>
      </w:r>
    </w:p>
    <w:p>
      <w:pPr>
        <w:pStyle w:val="ListNumber"/>
      </w:pPr>
      <w:r>
        <w:t>Die Beklagte (Selin Uvalkanat) wird verurteilt, EUR 80.000 brutto nebst Zinsen von 5 % p.a. seit 15.04.2026 zu zahlen.</w:t>
      </w:r>
    </w:p>
    <w:p>
      <w:pPr>
        <w:pStyle w:val="ListNumber"/>
      </w:pPr>
      <w:r>
        <w:t>Es wird festgestellt, dass der Sponsorenvertrag vom 01.01.2025 infolge der Kündigung vom 25.03.2026 beendet ist.</w:t>
      </w:r>
    </w:p>
    <w:p>
      <w:pPr>
        <w:pStyle w:val="ListNumber"/>
      </w:pPr>
      <w:r>
        <w:t>Kosten des Verfahrens zu Lasten der Beklagten.</w:t>
      </w:r>
    </w:p>
    <w:p>
      <w:pPr>
        <w:jc w:val="left"/>
      </w:pPr>
      <w:r>
        <w:rPr>
          <w:b/>
        </w:rPr>
        <w:t>Klagebegründung Adidas:</w:t>
      </w:r>
    </w:p>
    <w:p>
      <w:pPr>
        <w:pStyle w:val="ListBullet"/>
      </w:pPr>
      <w:r>
        <w:t>Moralklausel Ziff. 9.3 lit. b wirksam</w:t>
      </w:r>
    </w:p>
    <w:p>
      <w:pPr>
        <w:pStyle w:val="ListBullet"/>
      </w:pPr>
      <w:r>
        <w:t>AAF begründet Kündigungsrecht</w:t>
      </w:r>
    </w:p>
    <w:p>
      <w:pPr>
        <w:pStyle w:val="ListBullet"/>
      </w:pPr>
      <w:r>
        <w:t>Vorschuss vollständig rückforderbar</w:t>
      </w:r>
    </w:p>
    <w:p>
      <w:pPr>
        <w:pStyle w:val="Heading3"/>
      </w:pPr>
      <w:r>
        <w:rPr>
          <w:rFonts w:ascii="Times New Roman" w:hAnsi="Times New Roman"/>
        </w:rPr>
        <w:t>2.2 Klageerwiderung und Widerklage Mandantin (20.05.2026)</w:t>
      </w:r>
    </w:p>
    <w:p>
      <w:pPr>
        <w:jc w:val="left"/>
      </w:pPr>
      <w:r>
        <w:t>Kanzlei reichte Klageerwiderung und Widerklage ein:</w:t>
      </w:r>
    </w:p>
    <w:p>
      <w:pPr>
        <w:jc w:val="left"/>
      </w:pPr>
      <w:r>
        <w:rPr>
          <w:b/>
        </w:rPr>
        <w:t>Klageerwiderungsanträge:</w:t>
      </w:r>
    </w:p>
    <w:p>
      <w:pPr>
        <w:pStyle w:val="ListNumber"/>
      </w:pPr>
      <w:r>
        <w:t>Klage abweisen — Moralklausel unwirksam (§ 307 BGB)</w:t>
      </w:r>
    </w:p>
    <w:p>
      <w:pPr>
        <w:pStyle w:val="ListNumber"/>
      </w:pPr>
      <w:r>
        <w:t>Hilfsweise: Rückforderung beschränkt auf max. 71.667 EUR</w:t>
      </w:r>
    </w:p>
    <w:p>
      <w:pPr>
        <w:jc w:val="left"/>
      </w:pPr>
      <w:r>
        <w:rPr>
          <w:b/>
        </w:rPr>
        <w:t>Widerklageanträge:</w:t>
      </w:r>
    </w:p>
    <w:p>
      <w:pPr>
        <w:pStyle w:val="ListNumber"/>
      </w:pPr>
      <w:r>
        <w:t>Feststellung, dass der Sponsorenvertrag durch die Kündigung vom 25.03.2026 nicht beendet wurde</w:t>
      </w:r>
    </w:p>
    <w:p>
      <w:pPr>
        <w:pStyle w:val="ListNumber"/>
      </w:pPr>
      <w:r>
        <w:t>Zahlung der fälligen Quartals-Vergütung April–Juni 2026: 10.000 EUR nebst Zinsen</w:t>
      </w:r>
    </w:p>
    <w:p>
      <w:pPr>
        <w:pStyle w:val="ListNumber"/>
      </w:pPr>
      <w:r>
        <w:t>Schadensersatz wegen verfrühter Suspendierung: 40.000 EUR (entgangene Jahresvergütung 2026 abzüglich anteilig verdienter Beträge bis 25.03.2026)</w:t>
      </w:r>
    </w:p>
    <w:p/>
    <w:p>
      <w:pPr>
        <w:pStyle w:val="Heading2"/>
      </w:pPr>
      <w:r>
        <w:rPr>
          <w:rFonts w:ascii="Times New Roman" w:hAnsi="Times New Roman"/>
        </w:rPr>
        <w:t>3. AGB-Kontrolle § 307 BGB — Vertiefung</w:t>
      </w:r>
    </w:p>
    <w:p>
      <w:pPr>
        <w:pStyle w:val="Heading3"/>
      </w:pPr>
      <w:r>
        <w:rPr>
          <w:rFonts w:ascii="Times New Roman" w:hAnsi="Times New Roman"/>
        </w:rPr>
        <w:t>3.1 Unklarheitenregel § 305c Abs. 2 BGB</w:t>
      </w:r>
    </w:p>
    <w:p>
      <w:pPr>
        <w:jc w:val="left"/>
      </w:pPr>
      <w:r>
        <w:t>Ziff. 9.3 des Sponsorenvertrages spricht von einem Verfahren „wegen eines positiven Befundes auf eine verbotene Substanz". Die Klausel ist unklar: Meint sie den AAF (Laborergebnis) oder den ADRV (rechtskräftige Feststellung)? Nach § 305c Abs. 2 BGB (Unklarheitenregel) gehen Auslegungszweifel zu Lasten des Verwenders — also zu Lasten von Adidas. Auslegung: „positiver Befund" = ADRV, nicht AAF. Da kein ADRV rechtskräftig ist, war Adidas nicht zur Kündigung berechtigt.</w:t>
      </w:r>
    </w:p>
    <w:p>
      <w:pPr>
        <w:pStyle w:val="Heading3"/>
      </w:pPr>
      <w:r>
        <w:rPr>
          <w:rFonts w:ascii="Times New Roman" w:hAnsi="Times New Roman"/>
        </w:rPr>
        <w:t>3.2 Überraschende Klausel (§ 305c Abs. 1 BGB)</w:t>
      </w:r>
    </w:p>
    <w:p>
      <w:pPr>
        <w:jc w:val="left"/>
      </w:pPr>
      <w:r>
        <w:t>Alternativ: Eine Klausel, die bei bloßem AAF ohne rechtskräftige Entscheidung zur Rückforderung des gesamten Vorschusses berechtigt, ist so ungewöhnlich, dass ein Athlet nicht damit zu rechnen braucht. Sie wäre überraschend i.S.d. § 305c Abs. 1 BGB und damit nicht Vertragsbestandteil.</w:t>
      </w:r>
    </w:p>
    <w:p>
      <w:pPr>
        <w:pStyle w:val="Heading3"/>
      </w:pPr>
      <w:r>
        <w:rPr>
          <w:rFonts w:ascii="Times New Roman" w:hAnsi="Times New Roman"/>
        </w:rPr>
        <w:t>3.3 Unangemessene Benachteiligung (§ 307 Abs. 1 BGB)</w:t>
      </w:r>
    </w:p>
    <w:p>
      <w:pPr>
        <w:jc w:val="left"/>
      </w:pPr>
      <w:r>
        <w:t>Selbst wenn die Klausel formell gilt: Sie benachteiligt die Mandantin unangemessen, weil sie</w:t>
      </w:r>
    </w:p>
    <w:p>
      <w:pPr>
        <w:pStyle w:val="ListBullet"/>
      </w:pPr>
      <w:r>
        <w:t>keine Differenzierung zwischen AAF und ADRV enthält,</w:t>
      </w:r>
    </w:p>
    <w:p>
      <w:pPr>
        <w:pStyle w:val="ListBullet"/>
      </w:pPr>
      <w:r>
        <w:t>keine Rücksicht auf das Ergebnis des Hauptverfahrens nimmt (auch ein freigesprochener Athlet müsste zurückzahlen),</w:t>
      </w:r>
    </w:p>
    <w:p>
      <w:pPr>
        <w:pStyle w:val="ListBullet"/>
      </w:pPr>
      <w:r>
        <w:t>den Rückforderungsanspruch pauschal auf 100 % des Vorschusses fixiert, ohne anteilige Verrechnung mit erbrachten Leistungen.</w:t>
      </w:r>
    </w:p>
    <w:p>
      <w:pPr>
        <w:jc w:val="left"/>
      </w:pPr>
      <w:r>
        <w:t>Dies entspricht nicht dem Grundgedanken des Bereicherungsverbots und ist nach § 307 Abs. 2 Nr. 1 BGB als Abweichung vom gesetzlichen Leitbild unwirksam.</w:t>
      </w:r>
    </w:p>
    <w:p/>
    <w:p>
      <w:pPr>
        <w:pStyle w:val="Heading2"/>
      </w:pPr>
      <w:r>
        <w:rPr>
          <w:rFonts w:ascii="Times New Roman" w:hAnsi="Times New Roman"/>
        </w:rPr>
        <w:t>4. Parallelargument: Suspendierung vs. Kündigung</w:t>
      </w:r>
    </w:p>
    <w:p>
      <w:pPr>
        <w:jc w:val="left"/>
      </w:pPr>
      <w:r>
        <w:t xml:space="preserve">Die Moralklausel gibt Adidas das Recht zur </w:t>
      </w:r>
      <w:r>
        <w:rPr>
          <w:b/>
        </w:rPr>
        <w:t>Suspendierung oder Kündigung</w:t>
      </w:r>
      <w:r>
        <w:t xml:space="preserve"> — es besteht also ein Ermessen. Adidas hat von Beginn an „suspendiert" (Schreiben 25.03.2026), aber gleichzeitig Rückzahlung des </w:t>
      </w:r>
      <w:r>
        <w:rPr>
          <w:b/>
        </w:rPr>
        <w:t>gesamten</w:t>
      </w:r>
      <w:r>
        <w:t xml:space="preserve"> Vorschusses gefordert. Dies setzt voraus, dass auch eine Kündigung erklärt wurde.</w:t>
      </w:r>
    </w:p>
    <w:p>
      <w:pPr>
        <w:jc w:val="left"/>
      </w:pPr>
      <w:r>
        <w:t>Das Schreiben vom 25.03.2026 enthält keine eindeutige Kündigungserklärung — es spricht von „Suspendierung". Eine Suspendierung berechtigt nicht automatisch zur Rückforderung aller ausgezahlten Beträge. Adidas-Klage ist daher zumindest teilweise unbegründet, weil keine wirksame Kündigung vorliegt.</w:t>
      </w:r>
    </w:p>
    <w:p/>
    <w:p>
      <w:pPr>
        <w:pStyle w:val="Heading2"/>
      </w:pPr>
      <w:r>
        <w:rPr>
          <w:rFonts w:ascii="Times New Roman" w:hAnsi="Times New Roman"/>
        </w:rPr>
        <w:t>5. Schiedsgerichtliche Vorläufige Verfügung</w:t>
      </w:r>
    </w:p>
    <w:p>
      <w:pPr>
        <w:jc w:val="left"/>
      </w:pPr>
      <w:r>
        <w:t xml:space="preserve">Am 10.05.2026 beantragte die Kanzlei beim ICC-Tribunal eine </w:t>
      </w:r>
      <w:r>
        <w:rPr>
          <w:b/>
        </w:rPr>
        <w:t>vorläufige Verfügung</w:t>
      </w:r>
      <w:r>
        <w:t xml:space="preserve"> (Art. 28 ICC Rules), mit der Adidas untersagt werden soll, die Suspendierung öffentlich als „Vertragskündigung" zu kommunizieren (da dies die Verhandlungsposition der Mandantin gegenüber zukünftigen Sponsoren schädigt). Entscheidung ausstehend.</w:t>
      </w:r>
    </w:p>
    <w:p/>
    <w:p>
      <w:pPr>
        <w:pStyle w:val="Heading2"/>
      </w:pPr>
      <w:r>
        <w:rPr>
          <w:rFonts w:ascii="Times New Roman" w:hAnsi="Times New Roman"/>
        </w:rPr>
        <w:t>6. Vergleichsüberlegungen</w:t>
      </w:r>
    </w:p>
    <w:p>
      <w:pPr>
        <w:jc w:val="left"/>
      </w:pPr>
      <w:r>
        <w:t>Beide Parteien haben Interesse an einem raschen Abschluss:</w:t>
      </w:r>
    </w:p>
    <w:p>
      <w:pPr>
        <w:pStyle w:val="ListBullet"/>
      </w:pPr>
      <w:r>
        <w:t>Adidas: Reputationsschaden durch laufendes Verfahren und mögliche AGB-Unwirksamkeit</w:t>
      </w:r>
    </w:p>
    <w:p>
      <w:pPr>
        <w:pStyle w:val="ListBullet"/>
      </w:pPr>
      <w:r>
        <w:t>Mandantin: Finanzielle Belastung (80.000 EUR Rückforderung)</w:t>
      </w:r>
    </w:p>
    <w:p>
      <w:pPr>
        <w:jc w:val="left"/>
      </w:pPr>
      <w:r>
        <w:rPr>
          <w:b/>
        </w:rPr>
        <w:t>Vergleichskorridor:</w:t>
      </w:r>
      <w:r>
        <w:t xml:space="preserve"> Mandantin zahlt 20.000–25.000 EUR zurück (anteilig erbrachte Leistungsgegenleistung). Vertrag wird für die Dauer der Sperre ruhend gestellt, danach reaktiviert wenn CAS-Urteil günstig ausfällt.</w:t>
      </w:r>
    </w:p>
    <w:p>
      <w:pPr>
        <w:jc w:val="left"/>
      </w:pPr>
      <w:r>
        <w:t>Adidas hat in einem Telefonat am 20.05.2026 grundsätzliches Interesse an einem Vergleich signalisiert, verlangt aber 50.000 EUR Rückzahlung. Lücke: 25.000–50.000 EUR. Verhandlungen laufen.</w:t>
      </w:r>
    </w:p>
    <w:p/>
    <w:p>
      <w:pPr>
        <w:jc w:val="left"/>
      </w:pPr>
      <w:r>
        <w:rPr>
          <w:i/>
        </w:rPr>
        <w:t>Quellen: ICC Rules of Arbitration 2021, Art. 28 (vorläufige Maßnahmen); Art. 190 IPRG (Schweiz); § 305c BGB (überraschende/unklare Klauseln); § 307 BGB (unangemessene Benachteiligung); BGH NJW 2013, 2885; OLG München, Urt. 20.09.2018, 23 U 1284/18.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1. Die ICC als Schiedsgerichtsinstitution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1. Die ICC als Schiedsgerichtsinstitution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Gericht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