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 Strafanzeige gegen PowerNutrition GmbH: § 223 StGB Körperverletzung</w:t>
      </w:r>
    </w:p>
    <w:p>
      <w:pPr>
        <w:jc w:val="left"/>
      </w:pPr>
      <w:r>
        <w:rPr>
          <w:b/>
        </w:rPr>
        <w:t>Erstellt:</w:t>
      </w:r>
      <w:r>
        <w:t xml:space="preserve"> 20.04.2026</w:t>
      </w:r>
    </w:p>
    <w:p>
      <w:pPr>
        <w:jc w:val="left"/>
      </w:pPr>
      <w:r>
        <w:rPr>
          <w:b/>
        </w:rPr>
        <w:t>Bearbeiter:</w:t>
      </w:r>
      <w:r>
        <w:t xml:space="preserve"> RA Prof. Dr. Markus Lentze</w:t>
      </w:r>
    </w:p>
    <w:p>
      <w:pPr>
        <w:jc w:val="left"/>
      </w:pPr>
      <w:r>
        <w:rPr>
          <w:b/>
        </w:rPr>
        <w:t>AZ:</w:t>
      </w:r>
      <w:r>
        <w:t xml:space="preserve"> SU/DOPING/2026-001</w:t>
      </w:r>
    </w:p>
    <w:p/>
    <w:p>
      <w:pPr>
        <w:pStyle w:val="Heading2"/>
      </w:pPr>
      <w:r>
        <w:rPr>
          <w:rFonts w:ascii="Times New Roman" w:hAnsi="Times New Roman"/>
        </w:rPr>
        <w:t>1. Strafanzeige und Strafantrag (18.04.2026)</w:t>
      </w:r>
    </w:p>
    <w:p>
      <w:pPr>
        <w:jc w:val="left"/>
      </w:pPr>
      <w:r>
        <w:rPr>
          <w:b/>
        </w:rPr>
        <w:t>An:</w:t>
      </w:r>
      <w:r>
        <w:t xml:space="preserve"> Staatsanwaltschaft Memmingen</w:t>
      </w:r>
    </w:p>
    <w:p>
      <w:pPr>
        <w:jc w:val="left"/>
      </w:pPr>
      <w:r>
        <w:t>Lindauer Straße 4, 87700 Memmingen</w:t>
      </w:r>
    </w:p>
    <w:p>
      <w:pPr>
        <w:jc w:val="left"/>
      </w:pPr>
      <w:r>
        <w:rPr>
          <w:b/>
        </w:rPr>
        <w:t>Von:</w:t>
      </w:r>
      <w:r>
        <w:t xml:space="preserve"> Kanzlei Lentze, Stopper &amp; Partner</w:t>
      </w:r>
    </w:p>
    <w:p>
      <w:pPr>
        <w:jc w:val="left"/>
      </w:pPr>
      <w:r>
        <w:t>im Namen der Mandantin Selin Uvalkanat</w:t>
      </w:r>
    </w:p>
    <w:p>
      <w:pPr>
        <w:jc w:val="left"/>
      </w:pPr>
      <w:r>
        <w:rPr>
          <w:b/>
        </w:rPr>
        <w:t>Betreff:</w:t>
      </w:r>
      <w:r>
        <w:t xml:space="preserve"> Strafanzeige und Strafantrag nach § 158 StPO gegen PowerNutrition GmbH, Lindauer Straße 88, 87700 Memmingen, und deren Geschäftsführer Klaus-Dieter Maier und Susanne Baier</w:t>
      </w:r>
    </w:p>
    <w:p/>
    <w:p>
      <w:pPr>
        <w:pStyle w:val="Heading3"/>
      </w:pPr>
      <w:r>
        <w:rPr>
          <w:rFonts w:ascii="Times New Roman" w:hAnsi="Times New Roman"/>
        </w:rPr>
        <w:t>1.1 Sachverhalt</w:t>
      </w:r>
    </w:p>
    <w:p>
      <w:pPr>
        <w:jc w:val="left"/>
      </w:pPr>
      <w:r>
        <w:t>Wir erstatten Strafanzeige gegen die vorgenannten Personen und beantragen die Einleitung eines Ermittlungsverfahrens wegen:</w:t>
      </w:r>
    </w:p>
    <w:p>
      <w:pPr>
        <w:pStyle w:val="ListNumber"/>
      </w:pPr>
      <w:r>
        <w:rPr>
          <w:b/>
        </w:rPr>
        <w:t>Körperverletzung</w:t>
      </w:r>
      <w:r>
        <w:t xml:space="preserve"> nach § 223 Abs. 1 StGB (vorsätzlich oder bedingt vorsätzlich) in Tateinheit mit</w:t>
      </w:r>
    </w:p>
    <w:p>
      <w:pPr>
        <w:pStyle w:val="ListNumber"/>
      </w:pPr>
      <w:r>
        <w:rPr>
          <w:b/>
        </w:rPr>
        <w:t>Fahrlässiger Körperverletzung</w:t>
      </w:r>
      <w:r>
        <w:t xml:space="preserve"> nach § 229 StGB (hilfsweise)</w:t>
      </w:r>
    </w:p>
    <w:p>
      <w:pPr>
        <w:jc w:val="left"/>
      </w:pPr>
      <w:r>
        <w:t>sowie wegen:</w:t>
      </w:r>
    </w:p>
    <w:p>
      <w:pPr>
        <w:pStyle w:val="ListNumber"/>
      </w:pPr>
      <w:r>
        <w:rPr>
          <w:b/>
        </w:rPr>
        <w:t>Verstoßes gegen das Lebensmittel- und Futtermittelgesetzbuch</w:t>
      </w:r>
      <w:r>
        <w:t xml:space="preserve"> (§§ 58 ff. LFGB) durch das Inverkehrbringen eines unzureichend deklarierten Nahrungsergänzungsmittels.</w:t>
      </w:r>
    </w:p>
    <w:p>
      <w:pPr>
        <w:jc w:val="left"/>
      </w:pPr>
      <w:r>
        <w:rPr>
          <w:b/>
        </w:rPr>
        <w:t>Tathergang:</w:t>
      </w:r>
      <w:r>
        <w:t xml:space="preserve"> Die Beschuldigte PowerNutrition GmbH hat das Nahrungsergänzungsmittel RecoveryMax Pro, Charge 22-4188, mit einer nicht deklarierten Kontamination von Meldonium (0,84 mg/Kapsel) in den Verkehr gebracht. Die Anzeigeerstatterin Selin Uvalkanat hat dieses Produkt vom 15.12.2024 bis 17.02.2026 täglich eingenommen. Hierdurch wurde ihr Körper durch eine nicht konsentierende Zufuhr einer pharmakologisch aktiven, auf der WADA-Verbotsliste stehenden Substanz beeinträchtigt.</w:t>
      </w:r>
    </w:p>
    <w:p/>
    <w:p>
      <w:pPr>
        <w:pStyle w:val="Heading2"/>
      </w:pPr>
      <w:r>
        <w:rPr>
          <w:rFonts w:ascii="Times New Roman" w:hAnsi="Times New Roman"/>
        </w:rPr>
        <w:t>2. Rechtliche Würdigung</w:t>
      </w:r>
    </w:p>
    <w:p>
      <w:pPr>
        <w:pStyle w:val="Heading3"/>
      </w:pPr>
      <w:r>
        <w:rPr>
          <w:rFonts w:ascii="Times New Roman" w:hAnsi="Times New Roman"/>
        </w:rPr>
        <w:t>2.1 Körperverletzung § 223 StGB</w:t>
      </w:r>
    </w:p>
    <w:p>
      <w:pPr>
        <w:jc w:val="left"/>
      </w:pPr>
      <w:r>
        <w:t>§ 223 Abs. 1 StGB: „Wer eine andere Person körperlich misshandelt oder an der Gesundheit schädigt, wird mit Freiheitsstrafe bis zu fünf Jahren oder mit Geldstrafe bestraft."</w:t>
      </w:r>
    </w:p>
    <w:p>
      <w:pPr>
        <w:jc w:val="left"/>
      </w:pPr>
      <w:r>
        <w:rPr>
          <w:b/>
        </w:rPr>
        <w:t>Gesundheitsschädigung:</w:t>
      </w:r>
      <w:r>
        <w:t xml:space="preserve"> Das Einbringen einer pharmakologisch aktiven, verbotenen Substanz in den Körper ohne Kenntnis und Einwilligung der Betroffenen stellt eine Gesundheitsschädigung im Sinne von § 223 StGB dar. Meldonium greift in den Carnitinstoffwechsel ein und hat bei Dauereinnahme potenzielle Nebenwirkungen (Übelkeit, Blutdruckschwankungen, Hepatotoxizität bei Überdosierung). Die nicht-konsentierende Exposition über 60 Tage ist eine Beeinträchtigung der körperlichen Integrität.</w:t>
      </w:r>
    </w:p>
    <w:p>
      <w:pPr>
        <w:jc w:val="left"/>
      </w:pPr>
      <w:r>
        <w:rPr>
          <w:b/>
        </w:rPr>
        <w:t>Vorsatz:</w:t>
      </w:r>
      <w:r>
        <w:t xml:space="preserve"> Ob der Geschäftsführer wusste oder wissen musste, dass die Charge kontaminiert ist, ist Gegenstand der Ermittlungen. Bedingter Vorsatz (dolus eventualis) ist anzunehmen, wenn die Qualitätskontrolle der Charge so lückenhaft war, dass Kontaminationen als mögliche Folge in Kauf genommen wurden.</w:t>
      </w:r>
    </w:p>
    <w:p>
      <w:pPr>
        <w:jc w:val="left"/>
      </w:pPr>
      <w:r>
        <w:rPr>
          <w:b/>
        </w:rPr>
        <w:t>Fahrlässigkeit (§ 229 StGB):</w:t>
      </w:r>
      <w:r>
        <w:t xml:space="preserve"> Mindestens fahrlässige Körperverletzung ist zu bejahen: Ein Nahrungsergänzungsmittelhersteller, der Produkte für Leistungssportler vermarktet, hat erhöhte Sorgfaltspflichten. Das Unterlassen einer vollständigen GMP-Prüfung (Good Manufacturing Practice) und der Verzicht auf Anti-Doping-Zertifizierung (INFORMED-SPORT oder Cologne List) stellt ein Sorgfaltspflichtversäumnis dar.</w:t>
      </w:r>
    </w:p>
    <w:p>
      <w:pPr>
        <w:pStyle w:val="Heading3"/>
      </w:pPr>
      <w:r>
        <w:rPr>
          <w:rFonts w:ascii="Times New Roman" w:hAnsi="Times New Roman"/>
        </w:rPr>
        <w:t>2.2 Lebensmittelrechtliche Verstöße</w:t>
      </w:r>
    </w:p>
    <w:p>
      <w:pPr>
        <w:jc w:val="left"/>
      </w:pPr>
      <w:r>
        <w:rPr>
          <w:b/>
        </w:rPr>
        <w:t>§ 58 Abs. 1 Nr. 3 LFGB:</w:t>
      </w:r>
      <w:r>
        <w:t xml:space="preserve"> Wer ein Lebensmittel in den Verkehr bringt, das den Anforderungen des Art. 9 LMIV (Pflichtangaben auf der Etikettierung) nicht entspricht, kann mit Geldbuße bis 50.000 EUR bestraft werden. Das Fehlen von Meldonium in der Zutatenliste stellt einen Verstoß dar.</w:t>
      </w:r>
    </w:p>
    <w:p>
      <w:pPr>
        <w:jc w:val="left"/>
      </w:pPr>
      <w:r>
        <w:rPr>
          <w:b/>
        </w:rPr>
        <w:t>§ 60 Abs. 1 Nr. 1 LFGB (Straftat):</w:t>
      </w:r>
      <w:r>
        <w:t xml:space="preserve"> Wer Lebensmittel, die geeignet sind, die menschliche Gesundheit zu schädigen, in den Verkehr bringt, wird mit Freiheitsstrafe bis 3 Jahren oder Geldstrafe bestraft. Meldonium kann bei empfindlichen Personen (Herzerkrankungen, Medikamenteninteraktionen) gesundheitsschädlich sein.</w:t>
      </w:r>
    </w:p>
    <w:p>
      <w:pPr>
        <w:pStyle w:val="Heading3"/>
      </w:pPr>
      <w:r>
        <w:rPr>
          <w:rFonts w:ascii="Times New Roman" w:hAnsi="Times New Roman"/>
        </w:rPr>
        <w:t>2.3 Organhaftung</w:t>
      </w:r>
    </w:p>
    <w:p>
      <w:pPr>
        <w:jc w:val="left"/>
      </w:pPr>
      <w:r>
        <w:t>Die Geschäftsführer Klaus-Dieter Maier und Susanne Baier haften als Organe nach § 14 Abs. 1 Nr. 1 StGB i.V.m. § 9 OWiG für die Handlungen der GmbH. Die Verantwortlichkeit für Qualitätskontrolle und Etikettierung liegt institutionell bei der Geschäftsführung.</w:t>
      </w:r>
    </w:p>
    <w:p/>
    <w:p>
      <w:pPr>
        <w:pStyle w:val="Heading2"/>
      </w:pPr>
      <w:r>
        <w:rPr>
          <w:rFonts w:ascii="Times New Roman" w:hAnsi="Times New Roman"/>
        </w:rPr>
        <w:t>3. Beweismittel (zur Strafanzeige beigefügt)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Beweismittel</w:t>
            </w:r>
          </w:p>
        </w:tc>
        <w:tc>
          <w:tcPr>
            <w:tcW w:type="dxa" w:w="3024"/>
          </w:tcPr>
          <w:p>
            <w:r>
              <w:rPr>
                <w:rFonts w:ascii="Times New Roman" w:hAnsi="Times New Roman"/>
                <w:b/>
                <w:sz w:val="20"/>
              </w:rPr>
              <w:t>Bedeutung</w:t>
            </w:r>
          </w:p>
        </w:tc>
      </w:tr>
      <w:tr>
        <w:tc>
          <w:tcPr>
            <w:tcW w:type="dxa" w:w="3024"/>
          </w:tcPr>
          <w:p>
            <w:r>
              <w:rPr>
                <w:rFonts w:ascii="Times New Roman" w:hAnsi="Times New Roman"/>
                <w:sz w:val="20"/>
              </w:rPr>
              <w:t>1</w:t>
            </w:r>
          </w:p>
        </w:tc>
        <w:tc>
          <w:tcPr>
            <w:tcW w:type="dxa" w:w="3024"/>
          </w:tcPr>
          <w:p>
            <w:r>
              <w:rPr>
                <w:rFonts w:ascii="Times New Roman" w:hAnsi="Times New Roman"/>
                <w:sz w:val="20"/>
              </w:rPr>
              <w:t>LGC-Analysebericht LGC-2026-0310-4188</w:t>
            </w:r>
          </w:p>
        </w:tc>
        <w:tc>
          <w:tcPr>
            <w:tcW w:type="dxa" w:w="3024"/>
          </w:tcPr>
          <w:p>
            <w:r>
              <w:rPr>
                <w:rFonts w:ascii="Times New Roman" w:hAnsi="Times New Roman"/>
                <w:sz w:val="20"/>
              </w:rPr>
              <w:t>Nachweis Kontamination 0,84 mg Meldonium/Kapsel</w:t>
            </w:r>
          </w:p>
        </w:tc>
      </w:tr>
      <w:tr>
        <w:tc>
          <w:tcPr>
            <w:tcW w:type="dxa" w:w="3024"/>
          </w:tcPr>
          <w:p>
            <w:r>
              <w:rPr>
                <w:rFonts w:ascii="Times New Roman" w:hAnsi="Times New Roman"/>
                <w:sz w:val="20"/>
              </w:rPr>
              <w:t>2</w:t>
            </w:r>
          </w:p>
        </w:tc>
        <w:tc>
          <w:tcPr>
            <w:tcW w:type="dxa" w:w="3024"/>
          </w:tcPr>
          <w:p>
            <w:r>
              <w:rPr>
                <w:rFonts w:ascii="Times New Roman" w:hAnsi="Times New Roman"/>
                <w:sz w:val="20"/>
              </w:rPr>
              <w:t>DSHS-Köln-Laborprotokoll A/B-Probe</w:t>
            </w:r>
          </w:p>
        </w:tc>
        <w:tc>
          <w:tcPr>
            <w:tcW w:type="dxa" w:w="3024"/>
          </w:tcPr>
          <w:p>
            <w:r>
              <w:rPr>
                <w:rFonts w:ascii="Times New Roman" w:hAnsi="Times New Roman"/>
                <w:sz w:val="20"/>
              </w:rPr>
              <w:t>Nachweis AAF bei Anzeigeerstatterin</w:t>
            </w:r>
          </w:p>
        </w:tc>
      </w:tr>
      <w:tr>
        <w:tc>
          <w:tcPr>
            <w:tcW w:type="dxa" w:w="3024"/>
          </w:tcPr>
          <w:p>
            <w:r>
              <w:rPr>
                <w:rFonts w:ascii="Times New Roman" w:hAnsi="Times New Roman"/>
                <w:sz w:val="20"/>
              </w:rPr>
              <w:t>3</w:t>
            </w:r>
          </w:p>
        </w:tc>
        <w:tc>
          <w:tcPr>
            <w:tcW w:type="dxa" w:w="3024"/>
          </w:tcPr>
          <w:p>
            <w:r>
              <w:rPr>
                <w:rFonts w:ascii="Times New Roman" w:hAnsi="Times New Roman"/>
                <w:sz w:val="20"/>
              </w:rPr>
              <w:t>Gutachten Prof. Dr. Kempa 20.04.2026</w:t>
            </w:r>
          </w:p>
        </w:tc>
        <w:tc>
          <w:tcPr>
            <w:tcW w:type="dxa" w:w="3024"/>
          </w:tcPr>
          <w:p>
            <w:r>
              <w:rPr>
                <w:rFonts w:ascii="Times New Roman" w:hAnsi="Times New Roman"/>
                <w:sz w:val="20"/>
              </w:rPr>
              <w:t>Kausalitätsnachweis Supplement → Urinbefund</w:t>
            </w:r>
          </w:p>
        </w:tc>
      </w:tr>
      <w:tr>
        <w:tc>
          <w:tcPr>
            <w:tcW w:type="dxa" w:w="3024"/>
          </w:tcPr>
          <w:p>
            <w:r>
              <w:rPr>
                <w:rFonts w:ascii="Times New Roman" w:hAnsi="Times New Roman"/>
                <w:sz w:val="20"/>
              </w:rPr>
              <w:t>4</w:t>
            </w:r>
          </w:p>
        </w:tc>
        <w:tc>
          <w:tcPr>
            <w:tcW w:type="dxa" w:w="3024"/>
          </w:tcPr>
          <w:p>
            <w:r>
              <w:rPr>
                <w:rFonts w:ascii="Times New Roman" w:hAnsi="Times New Roman"/>
                <w:sz w:val="20"/>
              </w:rPr>
              <w:t>Kaufbeleg RecoveryMax Pro (Online-Bestellung, 15.12.2024)</w:t>
            </w:r>
          </w:p>
        </w:tc>
        <w:tc>
          <w:tcPr>
            <w:tcW w:type="dxa" w:w="3024"/>
          </w:tcPr>
          <w:p>
            <w:r>
              <w:rPr>
                <w:rFonts w:ascii="Times New Roman" w:hAnsi="Times New Roman"/>
                <w:sz w:val="20"/>
              </w:rPr>
              <w:t>Lieferkette Hersteller → Verbraucherin</w:t>
            </w:r>
          </w:p>
        </w:tc>
      </w:tr>
      <w:tr>
        <w:tc>
          <w:tcPr>
            <w:tcW w:type="dxa" w:w="3024"/>
          </w:tcPr>
          <w:p>
            <w:r>
              <w:rPr>
                <w:rFonts w:ascii="Times New Roman" w:hAnsi="Times New Roman"/>
                <w:sz w:val="20"/>
              </w:rPr>
              <w:t>5</w:t>
            </w:r>
          </w:p>
        </w:tc>
        <w:tc>
          <w:tcPr>
            <w:tcW w:type="dxa" w:w="3024"/>
          </w:tcPr>
          <w:p>
            <w:r>
              <w:rPr>
                <w:rFonts w:ascii="Times New Roman" w:hAnsi="Times New Roman"/>
                <w:sz w:val="20"/>
              </w:rPr>
              <w:t>Fotos verbleibende Kapseln Charge 22-4188</w:t>
            </w:r>
          </w:p>
        </w:tc>
        <w:tc>
          <w:tcPr>
            <w:tcW w:type="dxa" w:w="3024"/>
          </w:tcPr>
          <w:p>
            <w:r>
              <w:rPr>
                <w:rFonts w:ascii="Times New Roman" w:hAnsi="Times New Roman"/>
                <w:sz w:val="20"/>
              </w:rPr>
              <w:t>Identitätsfeststellung der Charge</w:t>
            </w:r>
          </w:p>
        </w:tc>
      </w:tr>
      <w:tr>
        <w:tc>
          <w:tcPr>
            <w:tcW w:type="dxa" w:w="3024"/>
          </w:tcPr>
          <w:p>
            <w:r>
              <w:rPr>
                <w:rFonts w:ascii="Times New Roman" w:hAnsi="Times New Roman"/>
                <w:sz w:val="20"/>
              </w:rPr>
              <w:t>6</w:t>
            </w:r>
          </w:p>
        </w:tc>
        <w:tc>
          <w:tcPr>
            <w:tcW w:type="dxa" w:w="3024"/>
          </w:tcPr>
          <w:p>
            <w:r>
              <w:rPr>
                <w:rFonts w:ascii="Times New Roman" w:hAnsi="Times New Roman"/>
                <w:sz w:val="20"/>
              </w:rPr>
              <w:t>Produktetikett RecoveryMax Pro</w:t>
            </w:r>
          </w:p>
        </w:tc>
        <w:tc>
          <w:tcPr>
            <w:tcW w:type="dxa" w:w="3024"/>
          </w:tcPr>
          <w:p>
            <w:r>
              <w:rPr>
                <w:rFonts w:ascii="Times New Roman" w:hAnsi="Times New Roman"/>
                <w:sz w:val="20"/>
              </w:rPr>
              <w:t>Fehlendes Meldonium in Zutatenliste</w:t>
            </w:r>
          </w:p>
        </w:tc>
      </w:tr>
      <w:tr>
        <w:tc>
          <w:tcPr>
            <w:tcW w:type="dxa" w:w="3024"/>
          </w:tcPr>
          <w:p>
            <w:r>
              <w:rPr>
                <w:rFonts w:ascii="Times New Roman" w:hAnsi="Times New Roman"/>
                <w:sz w:val="20"/>
              </w:rPr>
              <w:t>7</w:t>
            </w:r>
          </w:p>
        </w:tc>
        <w:tc>
          <w:tcPr>
            <w:tcW w:type="dxa" w:w="3024"/>
          </w:tcPr>
          <w:p>
            <w:r>
              <w:rPr>
                <w:rFonts w:ascii="Times New Roman" w:hAnsi="Times New Roman"/>
                <w:sz w:val="20"/>
              </w:rPr>
              <w:t>Schreiben Kanzlei an PowerNutrition v. 11.03.2026 (fruchtlos)</w:t>
            </w:r>
          </w:p>
        </w:tc>
        <w:tc>
          <w:tcPr>
            <w:tcW w:type="dxa" w:w="3024"/>
          </w:tcPr>
          <w:p>
            <w:r>
              <w:rPr>
                <w:rFonts w:ascii="Times New Roman" w:hAnsi="Times New Roman"/>
                <w:sz w:val="20"/>
              </w:rPr>
              <w:t>Untätigkeit des Herstellers</w:t>
            </w:r>
          </w:p>
        </w:tc>
      </w:tr>
      <w:tr>
        <w:tc>
          <w:tcPr>
            <w:tcW w:type="dxa" w:w="3024"/>
          </w:tcPr>
          <w:p>
            <w:r>
              <w:rPr>
                <w:rFonts w:ascii="Times New Roman" w:hAnsi="Times New Roman"/>
                <w:sz w:val="20"/>
              </w:rPr>
              <w:t>8</w:t>
            </w:r>
          </w:p>
        </w:tc>
        <w:tc>
          <w:tcPr>
            <w:tcW w:type="dxa" w:w="3024"/>
          </w:tcPr>
          <w:p>
            <w:r>
              <w:rPr>
                <w:rFonts w:ascii="Times New Roman" w:hAnsi="Times New Roman"/>
                <w:sz w:val="20"/>
              </w:rPr>
              <w:t>Schreiben Kanzlei an PowerNutrition v. 15.04.2026 (fruchtlos)</w:t>
            </w:r>
          </w:p>
        </w:tc>
        <w:tc>
          <w:tcPr>
            <w:tcW w:type="dxa" w:w="3024"/>
          </w:tcPr>
          <w:p>
            <w:r>
              <w:rPr>
                <w:rFonts w:ascii="Times New Roman" w:hAnsi="Times New Roman"/>
                <w:sz w:val="20"/>
              </w:rPr>
              <w:t>Fortgesetzter Haftungsvermeidungsversuch</w:t>
            </w:r>
          </w:p>
        </w:tc>
      </w:tr>
    </w:tbl>
    <w:p/>
    <w:p>
      <w:pPr>
        <w:pStyle w:val="Heading2"/>
      </w:pPr>
      <w:r>
        <w:rPr>
          <w:rFonts w:ascii="Times New Roman" w:hAnsi="Times New Roman"/>
        </w:rPr>
        <w:t>4. Ermittlungsanträge</w:t>
      </w:r>
    </w:p>
    <w:p>
      <w:pPr>
        <w:jc w:val="left"/>
      </w:pPr>
      <w:r>
        <w:t>Die Kanzlei beantragt, die Staatsanwaltschaft Memmingen möge:</w:t>
      </w:r>
    </w:p>
    <w:p>
      <w:pPr>
        <w:pStyle w:val="ListNumber"/>
      </w:pPr>
      <w:r>
        <w:t>Den Betrieb der PowerNutrition GmbH durchsuchen und alle Unterlagen zu Charge 22-4188 (Herstellungsprotokolle, Qualitätssicherungsunterlagen, Rücklaufmuster, Rohstoff-Lieferscheine) sicherstellen.</w:t>
      </w:r>
    </w:p>
    <w:p>
      <w:pPr>
        <w:pStyle w:val="ListNumber"/>
      </w:pPr>
      <w:r>
        <w:t>Die Restbestände der Charge 22-4188 beim Hersteller sicherstellen und einem eigenen Sachverständigen zur Analyse übergeben.</w:t>
      </w:r>
    </w:p>
    <w:p>
      <w:pPr>
        <w:pStyle w:val="ListNumber"/>
      </w:pPr>
      <w:r>
        <w:t>Die Telefon- und E-Mail-Korrespondenz der Geschäftsführer bezüglich der Charge 22-4188 sichern.</w:t>
      </w:r>
    </w:p>
    <w:p>
      <w:pPr>
        <w:pStyle w:val="ListNumber"/>
      </w:pPr>
      <w:r>
        <w:t>Etwaige weitere Abnehmer des Produkts (Händler, andere Sportler) ermitteln und als Zeugen befragen.</w:t>
      </w:r>
    </w:p>
    <w:p/>
    <w:p>
      <w:pPr>
        <w:pStyle w:val="Heading2"/>
      </w:pPr>
      <w:r>
        <w:rPr>
          <w:rFonts w:ascii="Times New Roman" w:hAnsi="Times New Roman"/>
        </w:rPr>
        <w:t>5. Zivilrechtlicher Parallelweg</w:t>
      </w:r>
    </w:p>
    <w:p>
      <w:pPr>
        <w:jc w:val="left"/>
      </w:pPr>
      <w:r>
        <w:t>Parallel zur Strafanzeige läuft das Zivilverfahren nach § 1 ProdHaftG und § 823 BGB (s. Aktenstück 08). Die Ergebnisse der Strafermittlungen werden als Beweismittel im Zivilprozess verwertet werden (§ 415 ZPO — Beweiswirkung staatsanwaltschaftlicher Ermittlungsergebnisse).</w:t>
      </w:r>
    </w:p>
    <w:p/>
    <w:p>
      <w:pPr>
        <w:pStyle w:val="Heading2"/>
      </w:pPr>
      <w:r>
        <w:rPr>
          <w:rFonts w:ascii="Times New Roman" w:hAnsi="Times New Roman"/>
        </w:rPr>
        <w:t>6. Stand der Ermittlungen (aktuell)</w:t>
      </w:r>
    </w:p>
    <w:p>
      <w:pPr>
        <w:jc w:val="left"/>
      </w:pPr>
      <w:r>
        <w:t>Staatsanwaltschaft Memmingen bestätigte mit Schreiben vom 05.05.2026 die Einleitung eines Ermittlungsverfahrens (Az. 5 Js 122/26). Durchsuchungsbeschluss des AG Memmingen vom 20.05.2026 ist zu erwarten. PowerNutrition GmbH hat nach Bekanntwerden der Strafanzeige einen Anwalt mandatiert (Dr. Helmut Gruber, München) und zunächst die Herausgabe von Unterlagen verweigert — dies wird die staatsanwaltschaftliche Durchsuchung beschleunigen.</w:t>
      </w:r>
    </w:p>
    <w:p/>
    <w:p>
      <w:pPr>
        <w:jc w:val="left"/>
      </w:pPr>
      <w:r>
        <w:rPr>
          <w:i/>
        </w:rPr>
        <w:t>Quellen: § 223 StGB (Körperverletzung); § 229 StGB (Fahrlässige KV); § 14 StGB (Organ-Haftung); § 58 LFGB; § 60 LFGB; Art. 9 LMIV 1169/2011/EU; § 1 ProdHaftG; § 823 BGB; § 415 ZPO; § 158 StPO (Strafanzeige); § 9 OWiG.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PowerNutrition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PowerNutrition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