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Mandantenbriefing Volkenrath Energie SE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15. März 2026</w:t>
      </w:r>
    </w:p>
    <w:p>
      <w:pPr>
        <w:jc w:val="left"/>
      </w:pPr>
      <w:r>
        <w:rPr>
          <w:b/>
        </w:rPr>
        <w:t>Bearbeiter:</w:t>
      </w:r>
      <w:r>
        <w:t xml:space="preserve"> RA Dr. Henrik Roosendaal / Senior Associate Dr. (iur.) Mira Pohlmann</w:t>
      </w:r>
    </w:p>
    <w:p>
      <w:pPr>
        <w:jc w:val="left"/>
      </w:pPr>
      <w:r>
        <w:rPr>
          <w:b/>
        </w:rPr>
        <w:t>Kanzlei:</w:t>
      </w:r>
      <w:r>
        <w:t xml:space="preserve"> Roosendaal Birkenhainer Partners mbB, Berlin</w:t>
      </w:r>
    </w:p>
    <w:p/>
    <w:p>
      <w:pPr>
        <w:pStyle w:val="Heading2"/>
      </w:pPr>
      <w:r>
        <w:rPr>
          <w:rFonts w:ascii="Times New Roman" w:hAnsi="Times New Roman"/>
        </w:rPr>
        <w:t>Sachverhaltsaufnahme</w:t>
      </w:r>
    </w:p>
    <w:p>
      <w:pPr>
        <w:pStyle w:val="Heading3"/>
      </w:pPr>
      <w:r>
        <w:rPr>
          <w:rFonts w:ascii="Times New Roman" w:hAnsi="Times New Roman"/>
        </w:rPr>
        <w:t>Mandantin</w:t>
      </w:r>
    </w:p>
    <w:p>
      <w:pPr>
        <w:jc w:val="left"/>
      </w:pPr>
      <w:r>
        <w:t>Volkenrath Energie SE, eingetragen im Handelsregister Berlin-Charlottenburg, HRB 88 412 B. Geschäftsführung: CEO Dr. Claudia Volkenrath-Eichmueller, CFO Dipl.-Kfm. Peter Rahming-Ostberg, General Counsel Dr. Franziska Schwingenstein-Pohlmann. Die Mandantin ist ein mittelständischer Energieversorger mit Fokus auf erneuerbare Energien und einem konsolidierten Jahresumsatz von ca. 210 Mio. EUR (2025).</w:t>
      </w:r>
    </w:p>
    <w:p>
      <w:pPr>
        <w:pStyle w:val="Heading3"/>
      </w:pPr>
      <w:r>
        <w:rPr>
          <w:rFonts w:ascii="Times New Roman" w:hAnsi="Times New Roman"/>
        </w:rPr>
        <w:t>Transaktionsgegenstand</w:t>
      </w:r>
    </w:p>
    <w:p>
      <w:pPr>
        <w:jc w:val="left"/>
      </w:pPr>
      <w:r>
        <w:t xml:space="preserve">Verkauf der 100%-igen Tochtergesellschaft </w:t>
      </w:r>
      <w:r>
        <w:rPr>
          <w:b/>
        </w:rPr>
        <w:t>Volkenrath Solar Eppendorf GmbH</w:t>
      </w:r>
      <w:r>
        <w:t xml:space="preserve"> (nachfolgend: SPV oder Zielgesellschaft). Das SPV hält:</w:t>
      </w:r>
    </w:p>
    <w:p>
      <w:pPr>
        <w:pStyle w:val="ListBullet"/>
      </w:pPr>
      <w:r>
        <w:t>Einen Erbbaurechtsvertrag über 18 ha landwirtschaftliche Fläche in Eppendorf, Laufzeit bis 2051, jährliche Erbbaurechtsrente 84.000 EUR</w:t>
      </w:r>
    </w:p>
    <w:p>
      <w:pPr>
        <w:pStyle w:val="ListBullet"/>
      </w:pPr>
      <w:r>
        <w:t>Sämtliche offentlich-rechtlichen Genehmigungen für den Solarpark (Leistung 22 MW, Inbetriebnahme 2021)</w:t>
      </w:r>
    </w:p>
    <w:p>
      <w:pPr>
        <w:pStyle w:val="ListBullet"/>
      </w:pPr>
      <w:r>
        <w:t>Einspeiseverträge nach EEG 2021, Netzanschlussvertrag mit regionaler Netzgesellschaft</w:t>
      </w:r>
    </w:p>
    <w:p>
      <w:pPr>
        <w:pStyle w:val="ListBullet"/>
      </w:pPr>
      <w:r>
        <w:t>Wartungsvertrag mit SolarService GmbH (Engineering-Servicevertrag, Anlage 7 SPA)</w:t>
      </w:r>
    </w:p>
    <w:p>
      <w:pPr>
        <w:pStyle w:val="ListBullet"/>
      </w:pPr>
      <w:r>
        <w:t>Bankdarlehen (EIB-Konsortialdarlehen) i.H.v. noch 12,4 Mio. EUR</w:t>
      </w:r>
    </w:p>
    <w:p>
      <w:pPr>
        <w:pStyle w:val="Heading3"/>
      </w:pPr>
      <w:r>
        <w:rPr>
          <w:rFonts w:ascii="Times New Roman" w:hAnsi="Times New Roman"/>
        </w:rPr>
        <w:t>Käufer</w:t>
      </w:r>
    </w:p>
    <w:p>
      <w:pPr>
        <w:jc w:val="left"/>
      </w:pPr>
      <w:r>
        <w:t>Steinheim Capital Partners GmbH &amp; Co. KG, Frankfurt, vertreten durch Investmentmanager Dr. Lars Lattermann-Tannenmoor. Erfahrener Infrastruktur-Investor, bereits in vier Solarprojekten investiert. Beratende Kanzlei Käuferseite: Schäfer Schoeneberg Stoll mbB, Frankfurt (federführend: Dr. Ilona Schoeneberg-Kraft).</w:t>
      </w:r>
    </w:p>
    <w:p>
      <w:pPr>
        <w:pStyle w:val="Heading3"/>
      </w:pPr>
      <w:r>
        <w:rPr>
          <w:rFonts w:ascii="Times New Roman" w:hAnsi="Times New Roman"/>
        </w:rPr>
        <w:t>Transaktionsstruktur</w:t>
      </w:r>
    </w:p>
    <w:p>
      <w:pPr>
        <w:jc w:val="left"/>
      </w:pPr>
      <w:r>
        <w:t>Share-Deal (Abtretung Geschäftsanteile GmbH, § 15 GmbHG). Notarielle Beurkundung erforderlich (§ 15 Abs. 3 GmbHG). Enterprise Value ca. 38 Mio. EUR; Equity Value vorbehaltlich Closing Accounts-Mechanismus. Locked-Box-Mechanismus erwägen (Diskussion noch offen).</w:t>
      </w:r>
    </w:p>
    <w:p/>
    <w:p>
      <w:pPr>
        <w:pStyle w:val="Heading2"/>
      </w:pPr>
      <w:r>
        <w:rPr>
          <w:rFonts w:ascii="Times New Roman" w:hAnsi="Times New Roman"/>
        </w:rPr>
        <w:t>Mandatsumfang</w:t>
      </w:r>
    </w:p>
    <w:p>
      <w:pPr>
        <w:pStyle w:val="ListBullet"/>
      </w:pPr>
      <w:r>
        <w:t>Federführende Beratung Verkäuferin im Share-Deal-Prozess</w:t>
      </w:r>
    </w:p>
    <w:p>
      <w:pPr>
        <w:pStyle w:val="ListBullet"/>
      </w:pPr>
      <w:r>
        <w:t>Erstellung SPA inkl. aller Anlagen (Term Sheet, Disclosure Schedules)</w:t>
      </w:r>
    </w:p>
    <w:p>
      <w:pPr>
        <w:pStyle w:val="ListBullet"/>
      </w:pPr>
      <w:r>
        <w:t>Pruefung Anlagen (Engineering-Servicevertrag, EIB-Darlehensvertrag)</w:t>
      </w:r>
    </w:p>
    <w:p>
      <w:pPr>
        <w:pStyle w:val="ListBullet"/>
      </w:pPr>
      <w:r>
        <w:t>Koordination Notartermin (Dr. Birkenhainer, Berlin)</w:t>
      </w:r>
    </w:p>
    <w:p>
      <w:pPr>
        <w:pStyle w:val="ListBullet"/>
      </w:pPr>
      <w:r>
        <w:t>Kommunikation mit BKartA (Fusionskontrolle nach GWB § 39 ff.)</w:t>
      </w:r>
    </w:p>
    <w:p>
      <w:pPr>
        <w:pStyle w:val="ListBullet"/>
      </w:pPr>
      <w:r>
        <w:t>Steuerliche Abstimmung mit FA Berlin-Mitte (GrESt, § 1 Abs. 3 GrEStG)</w:t>
      </w:r>
    </w:p>
    <w:p/>
    <w:p>
      <w:pPr>
        <w:pStyle w:val="Heading2"/>
      </w:pPr>
      <w:r>
        <w:rPr>
          <w:rFonts w:ascii="Times New Roman" w:hAnsi="Times New Roman"/>
        </w:rPr>
        <w:t>GwG-Pruefung (§ 10 GwG)</w:t>
      </w:r>
    </w:p>
    <w:p>
      <w:pPr>
        <w:pStyle w:val="ListBullet"/>
      </w:pPr>
      <w:r>
        <w:t>Identitätsfeststellung CEO und GC gemäß § 10 Abs. 1 GwG: Kopien Personalausweis vorgelegen</w:t>
      </w:r>
    </w:p>
    <w:p>
      <w:pPr>
        <w:pStyle w:val="ListBullet"/>
      </w:pPr>
      <w:r>
        <w:t>Wirtschaftlich Berechtigter (Ultimate Beneficial Owner): Volkenrath Energie SE börsennotiert (Frankfurter Wertpapierbörse, MidCap), kein UBO &gt; 25% — vereinfachte Sorgfaltspflicht anwendbar (§ 14 GwG)</w:t>
      </w:r>
    </w:p>
    <w:p>
      <w:pPr>
        <w:pStyle w:val="ListBullet"/>
      </w:pPr>
      <w:r>
        <w:t>Risikoeinstufung: mittel; keine PEP-Relevanz; keine Sanktionslisten-Treffer</w:t>
      </w:r>
    </w:p>
    <w:p>
      <w:pPr>
        <w:pStyle w:val="ListBullet"/>
      </w:pPr>
      <w:r>
        <w:t>Aktennotiz GwG hinterlegt</w:t>
      </w:r>
    </w:p>
    <w:p/>
    <w:p>
      <w:pPr>
        <w:pStyle w:val="Heading2"/>
      </w:pPr>
      <w:r>
        <w:rPr>
          <w:rFonts w:ascii="Times New Roman" w:hAnsi="Times New Roman"/>
        </w:rPr>
        <w:t>Interessenkonflikt-Check</w:t>
      </w:r>
    </w:p>
    <w:p>
      <w:pPr>
        <w:jc w:val="left"/>
      </w:pPr>
      <w:r>
        <w:t>Keine Vorbefassung mit Käufer Steinheim Capital Partners. Kein aktuelles Mandat Schäfer Schoeneberg Stoll. Keine Eigeninteressen. Ergebnis: kein Interessenkonflikt; Mandat angenommen.</w:t>
      </w:r>
    </w:p>
    <w:p/>
    <w:p>
      <w:pPr>
        <w:pStyle w:val="Heading2"/>
      </w:pPr>
      <w:r>
        <w:rPr>
          <w:rFonts w:ascii="Times New Roman" w:hAnsi="Times New Roman"/>
        </w:rPr>
        <w:t>Vollmacht</w:t>
      </w:r>
    </w:p>
    <w:p>
      <w:pPr>
        <w:jc w:val="left"/>
      </w:pPr>
      <w:r>
        <w:t>Generalvollmacht erteilt durch Dr. Schwingenstein-Pohlmann (GC) in Vertretung der Volkenrath Energie SE, datiert 15.03.2026. Vollmacht liegt im Original vor (Anlage M-01 der Kanzleiakte).</w:t>
      </w:r>
    </w:p>
    <w:p/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Erstellung Term Sheet / Letter of Intent (Ziel: Unterzeichnung bis 28.03.2026)</w:t>
      </w:r>
    </w:p>
    <w:p>
      <w:pPr>
        <w:pStyle w:val="ListNumber"/>
      </w:pPr>
      <w:r>
        <w:t>Kick-off-Meeting Transaktion mit Mandantin und Financial Advisor (Berenberg Bank)</w:t>
      </w:r>
    </w:p>
    <w:p>
      <w:pPr>
        <w:pStyle w:val="ListNumber"/>
      </w:pPr>
      <w:r>
        <w:t>Due-Diligence-Prozess vorbereiten (Datenraum-Koordination mit Mandantin)</w:t>
      </w:r>
    </w:p>
    <w:p>
      <w:pPr>
        <w:pStyle w:val="ListNumber"/>
      </w:pPr>
      <w:r>
        <w:t>Erste Strukturskizze SPA und Disclosure Schedules</w:t>
      </w:r>
    </w:p>
    <w:p>
      <w:pPr>
        <w:pStyle w:val="ListNumber"/>
      </w:pPr>
      <w:r>
        <w:t>Vorprüfung GrESt-Problematik (§ 1 Abs. 3 GrEStG — Erbbaurecht)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Mandantenbriefing Volkenrath Energie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Mandantenbriefing Volkenrath Energie SE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