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Kanzleistil-Kalibrierung: Grosskanzlei vs. Boutique</w:t>
      </w:r>
    </w:p>
    <w:p>
      <w:pPr>
        <w:jc w:val="left"/>
      </w:pPr>
      <w:r>
        <w:rPr>
          <w:b/>
        </w:rPr>
        <w:t>AZ:</w:t>
      </w:r>
      <w:r>
        <w:t xml:space="preserve"> MR-2026-DR-0717</w:t>
      </w:r>
    </w:p>
    <w:p>
      <w:pPr>
        <w:jc w:val="left"/>
      </w:pPr>
      <w:r>
        <w:rPr>
          <w:b/>
        </w:rPr>
        <w:t>Datum:</w:t>
      </w:r>
      <w:r>
        <w:t xml:space="preserve"> 15. August 2026</w:t>
      </w:r>
    </w:p>
    <w:p>
      <w:pPr>
        <w:jc w:val="left"/>
      </w:pPr>
      <w:r>
        <w:rPr>
          <w:b/>
        </w:rPr>
        <w:t>Bearbeiter:</w:t>
      </w:r>
      <w:r>
        <w:t xml:space="preserve"> RA Dr. Henrik Roosendaal</w:t>
      </w:r>
    </w:p>
    <w:p>
      <w:pPr>
        <w:jc w:val="left"/>
      </w:pPr>
      <w:r>
        <w:rPr>
          <w:b/>
        </w:rPr>
        <w:t>Kontext:</w:t>
      </w:r>
      <w:r>
        <w:t xml:space="preserve"> Roosendaal Birkenhainer Partners mbB (Boutique) vs. Gegenseite Schäfer Schoeneberg Stoll mbB (Grosskanzlei Frankfurt)</w:t>
      </w:r>
    </w:p>
    <w:p/>
    <w:p>
      <w:pPr>
        <w:pStyle w:val="Heading2"/>
      </w:pPr>
      <w:r>
        <w:rPr>
          <w:rFonts w:ascii="Times New Roman" w:hAnsi="Times New Roman"/>
        </w:rPr>
        <w:t>Ausgangslage</w:t>
      </w:r>
    </w:p>
    <w:p>
      <w:pPr>
        <w:jc w:val="left"/>
      </w:pPr>
      <w:r>
        <w:t>Im Verlauf der SPA-Verhandlungen hat sich ein stilistischer Kontrast zwischen den Kanzleiapproaches herauskristallisiert. Die Gegenkanzelei Schäfer Schoeneberg Stoll mbB verwendet ein Drafting-Muster, das stark an US-amerikanische Vertragsmodelle angelehnt ist (langer Definitions-Artikel, Representations-Struktur mit umfangreichem Qualifizierer-Apparat, angloamerikanische Terminologie). Roosendaal Birkenhainer Partners mbB verfolgt einen deutschen M&amp;A-Stil mit pragmatischer Klarheit.</w:t>
      </w:r>
    </w:p>
    <w:p/>
    <w:p>
      <w:pPr>
        <w:pStyle w:val="Heading2"/>
      </w:pPr>
      <w:r>
        <w:rPr>
          <w:rFonts w:ascii="Times New Roman" w:hAnsi="Times New Roman"/>
        </w:rPr>
        <w:t>Stilvergleich: Grosskanzlei vs. Boutique</w:t>
      </w:r>
    </w:p>
    <w:p>
      <w:pPr>
        <w:pStyle w:val="Heading3"/>
      </w:pPr>
      <w:r>
        <w:rPr>
          <w:rFonts w:ascii="Times New Roman" w:hAnsi="Times New Roman"/>
        </w:rPr>
        <w:t>1 — Definitionsartikel</w:t>
      </w:r>
    </w:p>
    <w:p>
      <w:pPr>
        <w:jc w:val="left"/>
      </w:pPr>
      <w:r>
        <w:rPr>
          <w:b/>
        </w:rPr>
        <w:t>Grosskanzlei (Schäfer Schoeneberg):</w:t>
      </w:r>
    </w:p>
    <w:p>
      <w:pPr>
        <w:pStyle w:val="ListBullet"/>
      </w:pPr>
      <w:r>
        <w:t>Definitionsartikel 18 Seiten, 64 Definitionen</w:t>
      </w:r>
    </w:p>
    <w:p>
      <w:pPr>
        <w:pStyle w:val="ListBullet"/>
      </w:pPr>
      <w:r>
        <w:t>Viele Definitions in "butterfly" Form: Hauptdefinition verweist auf Subdefinition, die auf weitere Subdefinition verweist</w:t>
      </w:r>
    </w:p>
    <w:p>
      <w:pPr>
        <w:pStyle w:val="ListBullet"/>
      </w:pPr>
      <w:r>
        <w:t>Beispiel: "Adjusted EBITDA" verweist auf "EBITDA" verweist auf "Reference Accounts" verweist auf "Accounting Policies" verweist auf "GAAP"</w:t>
      </w:r>
    </w:p>
    <w:p>
      <w:pPr>
        <w:pStyle w:val="ListBullet"/>
      </w:pPr>
      <w:r>
        <w:t>Hohe Präzision, aber schlechte Lesbarkeit; Mandant versteht Vertrag kaum ohne Anwalt</w:t>
      </w:r>
    </w:p>
    <w:p>
      <w:pPr>
        <w:jc w:val="left"/>
      </w:pPr>
      <w:r>
        <w:rPr>
          <w:b/>
        </w:rPr>
        <w:t>Boutique (Roosendaal Birkenhainer):</w:t>
      </w:r>
    </w:p>
    <w:p>
      <w:pPr>
        <w:pStyle w:val="ListBullet"/>
      </w:pPr>
      <w:r>
        <w:t>Definitionsartikel 9 Seiten, 38 Definitionen</w:t>
      </w:r>
    </w:p>
    <w:p>
      <w:pPr>
        <w:pStyle w:val="ListBullet"/>
      </w:pPr>
      <w:r>
        <w:t>Definitionen in sich geschlossen, keine langen Verweisketten</w:t>
      </w:r>
    </w:p>
    <w:p>
      <w:pPr>
        <w:pStyle w:val="ListBullet"/>
      </w:pPr>
      <w:r>
        <w:t>Beispiel: "Earn-Out EBITDA" direkt ausdefiniert in Art. 8.1 (nicht im Definitionsartikel)</w:t>
      </w:r>
    </w:p>
    <w:p>
      <w:pPr>
        <w:pStyle w:val="ListBullet"/>
      </w:pPr>
      <w:r>
        <w:t>Lesbarer; weniger Interpretationsstreit</w:t>
      </w:r>
    </w:p>
    <w:p>
      <w:pPr>
        <w:jc w:val="left"/>
      </w:pPr>
      <w:r>
        <w:rPr>
          <w:b/>
        </w:rPr>
        <w:t>Empfehlung:</w:t>
      </w:r>
      <w:r>
        <w:t xml:space="preserve"> Hybrid — wichtigste Begriffe direkt in relevanter Klausel definieren; Definitions-Katalog auf Kernbegriffe beschränken.</w:t>
      </w:r>
    </w:p>
    <w:p>
      <w:pPr>
        <w:pStyle w:val="Heading3"/>
      </w:pPr>
      <w:r>
        <w:rPr>
          <w:rFonts w:ascii="Times New Roman" w:hAnsi="Times New Roman"/>
        </w:rPr>
        <w:t>2 — Klausellaenge und Satzstruktur</w:t>
      </w:r>
    </w:p>
    <w:p>
      <w:pPr>
        <w:jc w:val="left"/>
      </w:pPr>
      <w:r>
        <w:rPr>
          <w:b/>
        </w:rPr>
        <w:t>Grosskanzlei:</w:t>
      </w:r>
      <w:r>
        <w:t xml:space="preserve"> Sätze 40-80 Wörter; Geschachtelter Subordinations-Stil mit Halbsätzen und Proviso-Kaskaden.</w:t>
      </w:r>
    </w:p>
    <w:p>
      <w:pPr>
        <w:jc w:val="left"/>
      </w:pPr>
      <w:r>
        <w:t>Beispiel:</w:t>
      </w:r>
    </w:p>
    <w:p>
      <w:pPr>
        <w:jc w:val="left"/>
      </w:pPr>
      <w:r>
        <w:t>"In the event that any Warranty as set forth in Article 4 of this Agreement shall, at the Closing Date, not be true and correct in all respects (unless such Warranty is qualified by Seller's Knowledge or materiality, in which case such Warranty shall be required to be true and correct in all material respects only), then ..."</w:t>
      </w:r>
    </w:p>
    <w:p>
      <w:pPr>
        <w:jc w:val="left"/>
      </w:pPr>
      <w:r>
        <w:rPr>
          <w:b/>
        </w:rPr>
        <w:t>Boutique:</w:t>
      </w:r>
      <w:r>
        <w:t xml:space="preserve"> Sätze 20-35 Wörter; klare Hauptsatz-Nebensatz-Struktur; Proviso-Kaskaden auf maximal eine Ebene.</w:t>
      </w:r>
    </w:p>
    <w:p>
      <w:pPr>
        <w:jc w:val="left"/>
      </w:pPr>
      <w:r>
        <w:t>Beispiel:</w:t>
      </w:r>
    </w:p>
    <w:p>
      <w:pPr>
        <w:jc w:val="left"/>
      </w:pPr>
      <w:r>
        <w:t>"Verletzt eine Verkäufer-Garantie, haftet der Verkäufer dem Käufer auf Schadensersatz nach Massgabe von Art. 6. Qualifizierte Garantien (Knowledge Qualifier oder Materiality Qualifier) sind nur verletzt, wenn die Unrichtigkeit die Qualifizierungsgrenze überschreitet."</w:t>
      </w:r>
    </w:p>
    <w:p>
      <w:pPr>
        <w:jc w:val="left"/>
      </w:pPr>
      <w:r>
        <w:rPr>
          <w:b/>
        </w:rPr>
        <w:t>Empfehlung:</w:t>
      </w:r>
      <w:r>
        <w:t xml:space="preserve"> Boutique-Stil für SPA-Hauptteil; Grosskanzlei-Präzision für Definitionen und Tax-Klauseln.</w:t>
      </w:r>
    </w:p>
    <w:p>
      <w:pPr>
        <w:pStyle w:val="Heading3"/>
      </w:pPr>
      <w:r>
        <w:rPr>
          <w:rFonts w:ascii="Times New Roman" w:hAnsi="Times New Roman"/>
        </w:rPr>
        <w:t>3 — Anwaltsschreiben (Tonalität)</w:t>
      </w:r>
    </w:p>
    <w:p>
      <w:pPr>
        <w:jc w:val="left"/>
      </w:pPr>
      <w:r>
        <w:rPr>
          <w:b/>
        </w:rPr>
        <w:t>Grosskanzlei:</w:t>
      </w:r>
    </w:p>
    <w:p>
      <w:pPr>
        <w:pStyle w:val="ListBullet"/>
      </w:pPr>
      <w:r>
        <w:t>Sehr formell, distanziert</w:t>
      </w:r>
    </w:p>
    <w:p>
      <w:pPr>
        <w:pStyle w:val="ListBullet"/>
      </w:pPr>
      <w:r>
        <w:t>"We are instructed to draw your attention to ..."</w:t>
      </w:r>
    </w:p>
    <w:p>
      <w:pPr>
        <w:pStyle w:val="ListBullet"/>
      </w:pPr>
      <w:r>
        <w:t>Fussnoten-Apparat für Normenverweise</w:t>
      </w:r>
    </w:p>
    <w:p>
      <w:pPr>
        <w:pStyle w:val="ListBullet"/>
      </w:pPr>
      <w:r>
        <w:t>Briefkopf mit Dutzend Partnernamen</w:t>
      </w:r>
    </w:p>
    <w:p>
      <w:pPr>
        <w:jc w:val="left"/>
      </w:pPr>
      <w:r>
        <w:rPr>
          <w:b/>
        </w:rPr>
        <w:t>Boutique:</w:t>
      </w:r>
    </w:p>
    <w:p>
      <w:pPr>
        <w:pStyle w:val="ListBullet"/>
      </w:pPr>
      <w:r>
        <w:t>Formell, aber zugänglich</w:t>
      </w:r>
    </w:p>
    <w:p>
      <w:pPr>
        <w:pStyle w:val="ListBullet"/>
      </w:pPr>
      <w:r>
        <w:t>"Wir weisen darauf hin, dass ..."</w:t>
      </w:r>
    </w:p>
    <w:p>
      <w:pPr>
        <w:pStyle w:val="ListBullet"/>
      </w:pPr>
      <w:r>
        <w:t>Normenverweise im Fliesstext geklammert</w:t>
      </w:r>
    </w:p>
    <w:p>
      <w:pPr>
        <w:pStyle w:val="ListBullet"/>
      </w:pPr>
      <w:r>
        <w:t>Klarer, zielgerichteter Aufbau</w:t>
      </w:r>
    </w:p>
    <w:p>
      <w:pPr>
        <w:pStyle w:val="Heading3"/>
      </w:pPr>
      <w:r>
        <w:rPr>
          <w:rFonts w:ascii="Times New Roman" w:hAnsi="Times New Roman"/>
        </w:rPr>
        <w:t>4 — Vertragsgliederung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Grosskanzlei</w:t>
            </w:r>
          </w:p>
        </w:tc>
        <w:tc>
          <w:tcPr>
            <w:tcW w:type="dxa" w:w="3024"/>
          </w:tcPr>
          <w:p>
            <w:r>
              <w:rPr>
                <w:rFonts w:ascii="Times New Roman" w:hAnsi="Times New Roman"/>
                <w:b/>
                <w:sz w:val="20"/>
              </w:rPr>
              <w:t>Boutique</w:t>
            </w:r>
          </w:p>
        </w:tc>
      </w:tr>
      <w:tr>
        <w:tc>
          <w:tcPr>
            <w:tcW w:type="dxa" w:w="3024"/>
          </w:tcPr>
          <w:p>
            <w:r>
              <w:rPr>
                <w:rFonts w:ascii="Times New Roman" w:hAnsi="Times New Roman"/>
                <w:sz w:val="20"/>
              </w:rPr>
              <w:t>Artikellänge</w:t>
            </w:r>
          </w:p>
        </w:tc>
        <w:tc>
          <w:tcPr>
            <w:tcW w:type="dxa" w:w="3024"/>
          </w:tcPr>
          <w:p>
            <w:r>
              <w:rPr>
                <w:rFonts w:ascii="Times New Roman" w:hAnsi="Times New Roman"/>
                <w:sz w:val="20"/>
              </w:rPr>
              <w:t>15-30 Seiten</w:t>
            </w:r>
          </w:p>
        </w:tc>
        <w:tc>
          <w:tcPr>
            <w:tcW w:type="dxa" w:w="3024"/>
          </w:tcPr>
          <w:p>
            <w:r>
              <w:rPr>
                <w:rFonts w:ascii="Times New Roman" w:hAnsi="Times New Roman"/>
                <w:sz w:val="20"/>
              </w:rPr>
              <w:t>8-15 Seiten</w:t>
            </w:r>
          </w:p>
        </w:tc>
      </w:tr>
      <w:tr>
        <w:tc>
          <w:tcPr>
            <w:tcW w:type="dxa" w:w="3024"/>
          </w:tcPr>
          <w:p>
            <w:r>
              <w:rPr>
                <w:rFonts w:ascii="Times New Roman" w:hAnsi="Times New Roman"/>
                <w:sz w:val="20"/>
              </w:rPr>
              <w:t>Verwendung von Schedules</w:t>
            </w:r>
          </w:p>
        </w:tc>
        <w:tc>
          <w:tcPr>
            <w:tcW w:type="dxa" w:w="3024"/>
          </w:tcPr>
          <w:p>
            <w:r>
              <w:rPr>
                <w:rFonts w:ascii="Times New Roman" w:hAnsi="Times New Roman"/>
                <w:sz w:val="20"/>
              </w:rPr>
              <w:t>Extensiv (15+ Schedules)</w:t>
            </w:r>
          </w:p>
        </w:tc>
        <w:tc>
          <w:tcPr>
            <w:tcW w:type="dxa" w:w="3024"/>
          </w:tcPr>
          <w:p>
            <w:r>
              <w:rPr>
                <w:rFonts w:ascii="Times New Roman" w:hAnsi="Times New Roman"/>
                <w:sz w:val="20"/>
              </w:rPr>
              <w:t>Moderat (6-9 Schedules)</w:t>
            </w:r>
          </w:p>
        </w:tc>
      </w:tr>
      <w:tr>
        <w:tc>
          <w:tcPr>
            <w:tcW w:type="dxa" w:w="3024"/>
          </w:tcPr>
          <w:p>
            <w:r>
              <w:rPr>
                <w:rFonts w:ascii="Times New Roman" w:hAnsi="Times New Roman"/>
                <w:sz w:val="20"/>
              </w:rPr>
              <w:t>Sprache</w:t>
            </w:r>
          </w:p>
        </w:tc>
        <w:tc>
          <w:tcPr>
            <w:tcW w:type="dxa" w:w="3024"/>
          </w:tcPr>
          <w:p>
            <w:r>
              <w:rPr>
                <w:rFonts w:ascii="Times New Roman" w:hAnsi="Times New Roman"/>
                <w:sz w:val="20"/>
              </w:rPr>
              <w:t>Englisch / Denglisch</w:t>
            </w:r>
          </w:p>
        </w:tc>
        <w:tc>
          <w:tcPr>
            <w:tcW w:type="dxa" w:w="3024"/>
          </w:tcPr>
          <w:p>
            <w:r>
              <w:rPr>
                <w:rFonts w:ascii="Times New Roman" w:hAnsi="Times New Roman"/>
                <w:sz w:val="20"/>
              </w:rPr>
              <w:t>Deutsch</w:t>
            </w:r>
          </w:p>
        </w:tc>
      </w:tr>
      <w:tr>
        <w:tc>
          <w:tcPr>
            <w:tcW w:type="dxa" w:w="3024"/>
          </w:tcPr>
          <w:p>
            <w:r>
              <w:rPr>
                <w:rFonts w:ascii="Times New Roman" w:hAnsi="Times New Roman"/>
                <w:sz w:val="20"/>
              </w:rPr>
              <w:t>Inhaltsverzeichnis</w:t>
            </w:r>
          </w:p>
        </w:tc>
        <w:tc>
          <w:tcPr>
            <w:tcW w:type="dxa" w:w="3024"/>
          </w:tcPr>
          <w:p>
            <w:r>
              <w:rPr>
                <w:rFonts w:ascii="Times New Roman" w:hAnsi="Times New Roman"/>
                <w:sz w:val="20"/>
              </w:rPr>
              <w:t>3-4 Ebenen</w:t>
            </w:r>
          </w:p>
        </w:tc>
        <w:tc>
          <w:tcPr>
            <w:tcW w:type="dxa" w:w="3024"/>
          </w:tcPr>
          <w:p>
            <w:r>
              <w:rPr>
                <w:rFonts w:ascii="Times New Roman" w:hAnsi="Times New Roman"/>
                <w:sz w:val="20"/>
              </w:rPr>
              <w:t>2 Ebenen</w:t>
            </w:r>
          </w:p>
        </w:tc>
      </w:tr>
    </w:tbl>
    <w:p/>
    <w:p>
      <w:pPr>
        <w:pStyle w:val="Heading2"/>
      </w:pPr>
      <w:r>
        <w:rPr>
          <w:rFonts w:ascii="Times New Roman" w:hAnsi="Times New Roman"/>
        </w:rPr>
        <w:t>Kalibrierung für diesen SPA</w:t>
      </w:r>
    </w:p>
    <w:p>
      <w:pPr>
        <w:jc w:val="left"/>
      </w:pPr>
      <w:r>
        <w:t>Da die Gegenseite ein Grosskanzlei-Entwurf erwartet und die Transaktion internationale Investoren betrifft (EIB-Darlehen, potenzielle Re-Finanzierung), empfiehlt Roosendaal Birkenhainer Partners mbB für den finalen SPA:</w:t>
      </w:r>
    </w:p>
    <w:p>
      <w:pPr>
        <w:pStyle w:val="ListNumber"/>
      </w:pPr>
      <w:r>
        <w:t>Englische Sprache als Vertragssprache (Erleichterung EIB-Kommunikation)</w:t>
      </w:r>
    </w:p>
    <w:p>
      <w:pPr>
        <w:pStyle w:val="ListNumber"/>
      </w:pPr>
      <w:r>
        <w:t>Definitions-Katalog Grosskanzlei-Länge (Prazision uber Lesbarkeit)</w:t>
      </w:r>
    </w:p>
    <w:p>
      <w:pPr>
        <w:pStyle w:val="ListNumber"/>
      </w:pPr>
      <w:r>
        <w:t>Hauptvertragstext Boutique-Klarheit (keine Proviso-Kaskaden über 3 Ebenen)</w:t>
      </w:r>
    </w:p>
    <w:p>
      <w:pPr>
        <w:pStyle w:val="ListNumber"/>
      </w:pPr>
      <w:r>
        <w:t>Disclosure Schedules: Grosskanzlei-Format (ausführlich und prazise)</w:t>
      </w:r>
    </w:p>
    <w:p>
      <w:pPr>
        <w:pStyle w:val="ListNumber"/>
      </w:pPr>
      <w:r>
        <w:t>Anwaltsschreiben: stets Deutsch; Kanzleistil Boutique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Birkenhainer Partners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ROOSENDAAL BIRKENHAINER PARTNERS MBB</w:t>
    </w:r>
  </w:p>
  <w:p>
    <w:pPr>
      <w:jc w:val="left"/>
      <w:pBdr>
        <w:bottom w:val="single" w:sz="8" w:space="2" w:color="8A6A1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