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23 — Vollmacht: Roosendaal Birkenhainer Partners mbB</w:t>
      </w:r>
    </w:p>
    <w:p>
      <w:pPr>
        <w:jc w:val="left"/>
      </w:pPr>
      <w:r>
        <w:rPr>
          <w:b/>
        </w:rPr>
        <w:t>AZ:</w:t>
      </w:r>
      <w:r>
        <w:t xml:space="preserve"> MR-2026-DR-0717</w:t>
      </w:r>
    </w:p>
    <w:p>
      <w:pPr>
        <w:jc w:val="left"/>
      </w:pPr>
      <w:r>
        <w:rPr>
          <w:b/>
        </w:rPr>
        <w:t>Datum:</w:t>
      </w:r>
      <w:r>
        <w:t xml:space="preserve"> 15. März 2026</w:t>
      </w:r>
    </w:p>
    <w:p>
      <w:pPr>
        <w:jc w:val="left"/>
      </w:pPr>
      <w:r>
        <w:rPr>
          <w:b/>
        </w:rPr>
        <w:t>Ausstellerin:</w:t>
      </w:r>
      <w:r>
        <w:t xml:space="preserve"> Volkenrath Energie SE, Berlin</w:t>
      </w:r>
    </w:p>
    <w:p>
      <w:pPr>
        <w:jc w:val="left"/>
      </w:pPr>
      <w:r>
        <w:rPr>
          <w:b/>
        </w:rPr>
        <w:t>Bevollmächtigte:</w:t>
      </w:r>
      <w:r>
        <w:t xml:space="preserve"> Roosendaal Birkenhainer Partners mbB</w:t>
      </w:r>
    </w:p>
    <w:p/>
    <w:p>
      <w:pPr>
        <w:pStyle w:val="Heading2"/>
      </w:pPr>
      <w:r>
        <w:rPr>
          <w:rFonts w:ascii="Times New Roman" w:hAnsi="Times New Roman"/>
        </w:rPr>
        <w:t>Vollmacht (Muster / Akte)</w:t>
      </w:r>
    </w:p>
    <w:p>
      <w:pPr>
        <w:jc w:val="left"/>
      </w:pPr>
      <w:r>
        <w:t>Die nachstehende Vollmacht wurde am 15.03.2026 von der Volkenrath Energie SE, vertreten durch</w:t>
      </w:r>
    </w:p>
    <w:p>
      <w:pPr>
        <w:jc w:val="left"/>
      </w:pPr>
      <w:r>
        <w:t>den CEO Dr. Claudia Volkenrath-Eichmueller und den General Counsel Dr. Franziska</w:t>
      </w:r>
    </w:p>
    <w:p>
      <w:pPr>
        <w:jc w:val="left"/>
      </w:pPr>
      <w:r>
        <w:t>Schwingenstein-Pohlmann, erteilt und liegt im Original in der Kanzleiakte unter</w:t>
      </w:r>
    </w:p>
    <w:p>
      <w:pPr>
        <w:jc w:val="left"/>
      </w:pPr>
      <w:r>
        <w:t>Anlage M-01 vor. Dieser Akteneintrag dokumentiert Inhalt und Umfang der Vollmacht.</w:t>
      </w:r>
    </w:p>
    <w:p/>
    <w:p>
      <w:pPr>
        <w:pStyle w:val="Heading2"/>
      </w:pPr>
      <w:r>
        <w:rPr>
          <w:rFonts w:ascii="Times New Roman" w:hAnsi="Times New Roman"/>
        </w:rPr>
        <w:t>Text der Vollmacht (Auszug)</w:t>
      </w:r>
    </w:p>
    <w:p>
      <w:pPr>
        <w:jc w:val="left"/>
      </w:pPr>
      <w:r>
        <w:rPr>
          <w:b/>
        </w:rPr>
        <w:t>PROZESS- UND TRANSAKTIONSVOLLMACHT</w:t>
      </w:r>
    </w:p>
    <w:p>
      <w:pPr>
        <w:jc w:val="left"/>
      </w:pPr>
      <w:r>
        <w:t xml:space="preserve">Die </w:t>
      </w:r>
      <w:r>
        <w:rPr>
          <w:b/>
        </w:rPr>
        <w:t>Volkenrath Energie SE</w:t>
      </w:r>
      <w:r>
        <w:t>, eingetragen im Handelsregister des Amtsgerichts</w:t>
      </w:r>
    </w:p>
    <w:p>
      <w:pPr>
        <w:jc w:val="left"/>
      </w:pPr>
      <w:r>
        <w:t>Berlin-Charlottenburg, HRB 88 412 B (nachfolgend: "Vollmachtgeberin"), erteilt</w:t>
      </w:r>
    </w:p>
    <w:p>
      <w:pPr>
        <w:jc w:val="left"/>
      </w:pPr>
      <w:r>
        <w:t>hiermit der Kanzlei</w:t>
      </w:r>
    </w:p>
    <w:p>
      <w:pPr>
        <w:jc w:val="left"/>
      </w:pPr>
      <w:r>
        <w:rPr>
          <w:b/>
        </w:rPr>
        <w:t>Roosendaal Birkenhainer Partners mbB</w:t>
      </w:r>
    </w:p>
    <w:p>
      <w:pPr>
        <w:jc w:val="left"/>
      </w:pPr>
      <w:r>
        <w:t>Kurfürstendamm 184</w:t>
      </w:r>
    </w:p>
    <w:p>
      <w:pPr>
        <w:jc w:val="left"/>
      </w:pPr>
      <w:r>
        <w:t>10707 Berlin</w:t>
      </w:r>
    </w:p>
    <w:p>
      <w:pPr>
        <w:jc w:val="left"/>
      </w:pPr>
      <w:r>
        <w:t>(vertreten durch RA Dr. Henrik Roosendaal)</w:t>
      </w:r>
    </w:p>
    <w:p>
      <w:pPr>
        <w:jc w:val="left"/>
      </w:pPr>
      <w:r>
        <w:t>die nachfolgende umfassende Vollmacht zur Wahrnehmung aller rechtlichen Angelegenheiten</w:t>
      </w:r>
    </w:p>
    <w:p>
      <w:pPr>
        <w:jc w:val="left"/>
      </w:pPr>
      <w:r>
        <w:t>im Zusammenhang mit dem Verkauf der Volkenrath Solar Eppendorf GmbH:</w:t>
      </w:r>
    </w:p>
    <w:p>
      <w:pPr>
        <w:jc w:val="left"/>
      </w:pPr>
      <w:r>
        <w:rPr>
          <w:b/>
        </w:rPr>
        <w:t>§ 1 Umfang der Vollmacht</w:t>
      </w:r>
    </w:p>
    <w:p>
      <w:pPr>
        <w:jc w:val="left"/>
      </w:pPr>
      <w:r>
        <w:t>Die Bevollmächtigten sind berechtigt, die Vollmachtgeberin in allen rechtlichen und</w:t>
      </w:r>
    </w:p>
    <w:p>
      <w:pPr>
        <w:jc w:val="left"/>
      </w:pPr>
      <w:r>
        <w:t>behördlichen Verfahren im Zusammenhang mit dem Verkauf der Volkenrath Solar Eppendorf GmbH</w:t>
      </w:r>
    </w:p>
    <w:p>
      <w:pPr>
        <w:jc w:val="left"/>
      </w:pPr>
      <w:r>
        <w:t>zu vertreten, insbesondere:</w:t>
      </w:r>
    </w:p>
    <w:p>
      <w:pPr>
        <w:pStyle w:val="ListNumber"/>
      </w:pPr>
      <w:r>
        <w:t>Abschluss und Verhandlung des Share Purchase Agreement nebst Anlagen</w:t>
      </w:r>
    </w:p>
    <w:p>
      <w:pPr>
        <w:pStyle w:val="ListNumber"/>
      </w:pPr>
      <w:r>
        <w:t>Kommunikation mit dem Bundeskartellamt (GWB § 39 ff.) einschliesslich Anmeldung</w:t>
      </w:r>
    </w:p>
    <w:p>
      <w:pPr>
        <w:jc w:val="left"/>
      </w:pPr>
      <w:r>
        <w:t>und Beantworterung von Anfragen</w:t>
      </w:r>
    </w:p>
    <w:p>
      <w:pPr>
        <w:pStyle w:val="ListNumber"/>
      </w:pPr>
      <w:r>
        <w:t>Kommunikation mit dem Finanzamt Berlin-Mitte bezüglich verbindlicher Auskunft</w:t>
      </w:r>
    </w:p>
    <w:p>
      <w:pPr>
        <w:jc w:val="left"/>
      </w:pPr>
      <w:r>
        <w:t>nach § 89 Abs. 2 AO</w:t>
      </w:r>
    </w:p>
    <w:p>
      <w:pPr>
        <w:pStyle w:val="ListNumber"/>
      </w:pPr>
      <w:r>
        <w:t>Koordination und Vorbereitung des Notartermins</w:t>
      </w:r>
    </w:p>
    <w:p>
      <w:pPr>
        <w:pStyle w:val="ListNumber"/>
      </w:pPr>
      <w:r>
        <w:t>Abschluss von Nebenvereinbarungen und Protokollen, die der Durchführung der</w:t>
      </w:r>
    </w:p>
    <w:p>
      <w:pPr>
        <w:jc w:val="left"/>
      </w:pPr>
      <w:r>
        <w:t>Haupttransaktion dienen</w:t>
      </w:r>
    </w:p>
    <w:p>
      <w:pPr>
        <w:pStyle w:val="ListNumber"/>
      </w:pPr>
      <w:r>
        <w:t>Entgegennahme und Abgabe aller Erklärungen, die zur Durchführung der</w:t>
      </w:r>
    </w:p>
    <w:p>
      <w:pPr>
        <w:jc w:val="left"/>
      </w:pPr>
      <w:r>
        <w:t>Transaktion erforderlich sind</w:t>
      </w:r>
    </w:p>
    <w:p>
      <w:pPr>
        <w:jc w:val="left"/>
      </w:pPr>
      <w:r>
        <w:rPr>
          <w:b/>
        </w:rPr>
        <w:t>§ 2 Untervollmacht</w:t>
      </w:r>
    </w:p>
    <w:p>
      <w:pPr>
        <w:jc w:val="left"/>
      </w:pPr>
      <w:r>
        <w:t>Die Bevollmächtigten sind berechtigt, Untervollmacht an Mitglieder der Sozietät zu erteilen.</w:t>
      </w:r>
    </w:p>
    <w:p>
      <w:pPr>
        <w:jc w:val="left"/>
      </w:pPr>
      <w:r>
        <w:rPr>
          <w:b/>
        </w:rPr>
        <w:t>§ 3 Geltungsdauer</w:t>
      </w:r>
    </w:p>
    <w:p>
      <w:pPr>
        <w:jc w:val="left"/>
      </w:pPr>
      <w:r>
        <w:t>Die Vollmacht gilt bis zum Abschluss der Transaktion (Closing) und erlischt automatisch</w:t>
      </w:r>
    </w:p>
    <w:p>
      <w:pPr>
        <w:jc w:val="left"/>
      </w:pPr>
      <w:r>
        <w:t>30 Tage nach dem Closing Date, sofern keine Ansprüche aus dem SPA mehr offen sind.</w:t>
      </w:r>
    </w:p>
    <w:p/>
    <w:p>
      <w:pPr>
        <w:pStyle w:val="Heading2"/>
      </w:pPr>
      <w:r>
        <w:rPr>
          <w:rFonts w:ascii="Times New Roman" w:hAnsi="Times New Roman"/>
        </w:rPr>
        <w:t>GwG-Dokumentation</w:t>
      </w:r>
    </w:p>
    <w:p>
      <w:pPr>
        <w:jc w:val="left"/>
      </w:pPr>
      <w:r>
        <w:t>Anlage zur Vollmacht: Kopie Personalausweis CEO Dr. Volkenrath-Eichmueller und GC</w:t>
      </w:r>
    </w:p>
    <w:p>
      <w:pPr>
        <w:jc w:val="left"/>
      </w:pPr>
      <w:r>
        <w:t>Dr. Schwingenstein-Pohlmann. GwG-Pruefung abgeschlossen (§ 10 GwG), Risikoklasse: mittel.</w:t>
      </w:r>
    </w:p>
    <w:p>
      <w:pPr>
        <w:jc w:val="left"/>
      </w:pPr>
      <w:r>
        <w:t>Keine PEP-Relevanz; keine Sanktionslisten-Treffer. Vereinfachte Sorgfalt (§ 14 GwG)</w:t>
      </w:r>
    </w:p>
    <w:p>
      <w:pPr>
        <w:jc w:val="left"/>
      </w:pPr>
      <w:r>
        <w:t>anwendbar (Börsennotierung Volkenrath Energie SE, FWB MidCap).</w:t>
      </w:r>
    </w:p>
    <w:p/>
    <w:p>
      <w:pPr>
        <w:pStyle w:val="Heading2"/>
      </w:pPr>
      <w:r>
        <w:rPr>
          <w:rFonts w:ascii="Times New Roman" w:hAnsi="Times New Roman"/>
        </w:rPr>
        <w:t>Aufbewahrung</w:t>
      </w:r>
    </w:p>
    <w:p>
      <w:pPr>
        <w:jc w:val="left"/>
      </w:pPr>
      <w:r>
        <w:t>Original-Vollmacht: Kanzlei-DMS unter AZ MR-2026-DR-0717, Anlage M-01</w:t>
      </w:r>
    </w:p>
    <w:p>
      <w:pPr>
        <w:jc w:val="left"/>
      </w:pPr>
      <w:r>
        <w:t>Aufbewahrungsfrist: 10 Jahre nach Mandatsende (§ 50 BRAO)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Roosendaal Birkenhainer Partners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ROOSENDAAL BIRKENHAINER PARTNERS MBB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