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DSC-Beschwerde an die Bundesnetzagentur — Entwurf</w:t>
      </w:r>
    </w:p>
    <w:p>
      <w:pPr>
        <w:ind w:left="567"/>
      </w:pPr>
      <w:r>
        <w:rPr>
          <w:b/>
          <w:i/>
        </w:rPr>
        <w:t>Status: ENTWURF v2, Stand 18.05.2026</w:t>
      </w:r>
    </w:p>
    <w:p>
      <w:pPr>
        <w:jc w:val="left"/>
      </w:pPr>
      <w:r>
        <w:t>An die</w:t>
      </w:r>
    </w:p>
    <w:p>
      <w:pPr>
        <w:jc w:val="left"/>
      </w:pPr>
      <w:r>
        <w:t>Bundesnetzagentur für Elektrizität, Gas, Telekommunikation, Post und Eisenbahnen</w:t>
      </w:r>
    </w:p>
    <w:p>
      <w:pPr>
        <w:pStyle w:val="ListBullet"/>
      </w:pPr>
      <w:r>
        <w:t>Digital Services Coordinator -</w:t>
      </w:r>
    </w:p>
    <w:p>
      <w:pPr>
        <w:jc w:val="left"/>
      </w:pPr>
      <w:r>
        <w:t>Tulpenfeld 4</w:t>
      </w:r>
    </w:p>
    <w:p>
      <w:pPr>
        <w:jc w:val="left"/>
      </w:pPr>
      <w:r>
        <w:t>53113 Bonn</w:t>
      </w:r>
    </w:p>
    <w:p>
      <w:pPr>
        <w:jc w:val="left"/>
      </w:pPr>
      <w:r>
        <w:t>E-Mail: dsa-beschwerden@bnetza.de</w:t>
      </w:r>
    </w:p>
    <w:p>
      <w:pPr>
        <w:pStyle w:val="Heading2"/>
      </w:pPr>
      <w:r>
        <w:rPr>
          <w:rFonts w:ascii="Times New Roman" w:hAnsi="Times New Roman"/>
        </w:rPr>
        <w:t>Beschwerde nach Art. 53 DSA gegen Glitzerwald Inc. / Glitzerwald Networks Ireland Ltd.</w:t>
      </w:r>
    </w:p>
    <w:p>
      <w:pPr>
        <w:pStyle w:val="Heading3"/>
      </w:pPr>
      <w:r>
        <w:rPr>
          <w:rFonts w:ascii="Times New Roman" w:hAnsi="Times New Roman"/>
        </w:rPr>
        <w:t>Beschwerdeführerin</w:t>
      </w:r>
    </w:p>
    <w:p>
      <w:pPr>
        <w:jc w:val="left"/>
      </w:pPr>
      <w:r>
        <w:t>Baustube Meißnerlein GmbH, Innere Bachgasse 17, 91315 Höchstadt an der Aisch, gesetzlich vertreten durch die Geschäftsführerin Walpurga Meißnerlein-Hochkönig.</w:t>
      </w:r>
    </w:p>
    <w:p>
      <w:pPr>
        <w:jc w:val="left"/>
      </w:pPr>
      <w:r>
        <w:t>Bevollmächtigte: Hagenroth, Quasthoff-Prügelmann &amp; Kollegen, Erlangen.</w:t>
      </w:r>
    </w:p>
    <w:p>
      <w:pPr>
        <w:pStyle w:val="Heading3"/>
      </w:pPr>
      <w:r>
        <w:rPr>
          <w:rFonts w:ascii="Times New Roman" w:hAnsi="Times New Roman"/>
        </w:rPr>
        <w:t>Beschuldigte Diensteanbieterin</w:t>
      </w:r>
    </w:p>
    <w:p>
      <w:pPr>
        <w:jc w:val="left"/>
      </w:pPr>
      <w:r>
        <w:t>Glitzerwald Inc., Wilmington, Delaware, USA, sowie konzerneinheitlich Glitzerwald Networks Ireland Ltd., Dublin, Irland (für die EU als gemeinsame Verantwortliche und EU-Vertreterin nach Art. 13 DSA).</w:t>
      </w:r>
    </w:p>
    <w:p>
      <w:pPr>
        <w:pStyle w:val="Heading3"/>
      </w:pPr>
      <w:r>
        <w:rPr>
          <w:rFonts w:ascii="Times New Roman" w:hAnsi="Times New Roman"/>
        </w:rPr>
        <w:t>Gegenstand</w:t>
      </w:r>
    </w:p>
    <w:p>
      <w:pPr>
        <w:jc w:val="left"/>
      </w:pPr>
      <w:r>
        <w:t>Die Beschwerdeführerin macht folgende mutmaßliche Verstöße geltend:</w:t>
      </w:r>
    </w:p>
    <w:p>
      <w:pPr>
        <w:pStyle w:val="ListNumber"/>
      </w:pPr>
      <w:r>
        <w:rPr>
          <w:b/>
        </w:rPr>
        <w:t>Verstoß gegen Art. 17 DSA</w:t>
      </w:r>
      <w:r>
        <w:t xml:space="preserve"> — Begründungspflicht: Die Sperrmitteilung vom 14.03.2026 enthält keine spezifische Sachverhaltsdarstellung; nur pauschale Verweise auf "Coordinated Inauthentic Behavior" und "Spam-like Engagement Patterns".</w:t>
      </w:r>
    </w:p>
    <w:p>
      <w:pPr>
        <w:pStyle w:val="ListNumber"/>
      </w:pPr>
      <w:r>
        <w:rPr>
          <w:b/>
        </w:rPr>
        <w:t>Verstoß gegen Art. 20 DSA</w:t>
      </w:r>
      <w:r>
        <w:t xml:space="preserve"> — internes Beschwerdesystem: Die Beschwerde-Entscheidung vom 09.04.2026 ist erneut pauschal und verweigert konkrete Tatsachen. Die Erforderlichkeit menschlicher Überprüfung (Art. 20 Abs. 6 DSA) wird zwar behauptet, aber nicht nachvollziehbar belegt.</w:t>
      </w:r>
    </w:p>
    <w:p>
      <w:pPr>
        <w:pStyle w:val="ListNumber"/>
      </w:pPr>
      <w:r>
        <w:rPr>
          <w:b/>
        </w:rPr>
        <w:t>Verstoß gegen Art. 14 Abs. 4 DSA</w:t>
      </w:r>
      <w:r>
        <w:t xml:space="preserve"> — sorgfältige, objektive und verhältnismäßige Anwendung der AGB: Die Sperre erfolgte ohne Vorwarnung und ohne mildere Mittel.</w:t>
      </w:r>
    </w:p>
    <w:p>
      <w:pPr>
        <w:pStyle w:val="ListNumber"/>
      </w:pPr>
      <w:r>
        <w:rPr>
          <w:b/>
        </w:rPr>
        <w:t>Möglicher Verstoß gegen Art. 27 DSA</w:t>
      </w:r>
      <w:r>
        <w:t xml:space="preserve"> — Transparenz Empfehlungssysteme: Im Zeitraum 01.01.-13.03.2026 erlangte ein deutscher Mitbewerber (Lindheim &amp; Söhne KG, Schwabach) auffällig hohe Sichtbarkeit. Indiz für Self-Preferencing oder Manipulation des Empfehlungssystems im Rahmen des Marktplatzableger-Programms "GlitzerwaldShops".</w:t>
      </w:r>
    </w:p>
    <w:p>
      <w:pPr>
        <w:pStyle w:val="ListNumber"/>
      </w:pPr>
      <w:r>
        <w:rPr>
          <w:b/>
        </w:rPr>
        <w:t>Möglicher Verstoß gegen Art. 39 DSA</w:t>
      </w:r>
      <w:r>
        <w:t xml:space="preserve"> — Werbearchiv: Die Werbeplatzierungen "GlitzerwaldShops Echtes Franken" sind im DSA-Werbearchiv nur unvollständig aufgeführt; ein vollständiges öffentliches Repository ist nicht zugänglich.</w:t>
      </w:r>
    </w:p>
    <w:p>
      <w:pPr>
        <w:pStyle w:val="Heading3"/>
      </w:pPr>
      <w:r>
        <w:rPr>
          <w:rFonts w:ascii="Times New Roman" w:hAnsi="Times New Roman"/>
        </w:rPr>
        <w:t>Verfahrensbegehren</w:t>
      </w:r>
    </w:p>
    <w:p>
      <w:pPr>
        <w:jc w:val="left"/>
      </w:pPr>
      <w:r>
        <w:t>a) Einleitung eines Aufsichtsverfahrens nach Art. 51 DSA gegen Glitzerwald Networks Ireland Ltd. (über die irische DSC nach Art. 56 DSA in Verbindung mit der Bundesnetzagentur als Beschwerde-DSC am Sitz der Beschwerdeführerin).</w:t>
      </w:r>
    </w:p>
    <w:p>
      <w:pPr>
        <w:jc w:val="left"/>
      </w:pPr>
      <w:r>
        <w:t>b) Ergänzend: Weiterleitung der Beschwerde an die zuständige Aufsicht in Irland (Coimisiún na Meán) und Information an die Europäische Kommission, sofern die Plattform bereits als VLOP designiert ist (Stand 18.05.2026: Designations-Verfahren laufend).</w:t>
      </w:r>
    </w:p>
    <w:p>
      <w:pPr>
        <w:jc w:val="left"/>
      </w:pPr>
      <w:r>
        <w:t>c) Zusicherung an die Beschwerdeführerin auf Information über Verfahrensfortgang nach Art. 53 Abs. 2 DSA.</w:t>
      </w:r>
    </w:p>
    <w:p>
      <w:pPr>
        <w:pStyle w:val="Heading3"/>
      </w:pPr>
      <w:r>
        <w:rPr>
          <w:rFonts w:ascii="Times New Roman" w:hAnsi="Times New Roman"/>
        </w:rPr>
        <w:t>Glaubhaftmachung</w:t>
      </w:r>
    </w:p>
    <w:p>
      <w:pPr>
        <w:pStyle w:val="ListBullet"/>
      </w:pPr>
      <w:r>
        <w:t>Akte 03 (Sperrmitteilung)</w:t>
      </w:r>
    </w:p>
    <w:p>
      <w:pPr>
        <w:pStyle w:val="ListBullet"/>
      </w:pPr>
      <w:r>
        <w:t>Akte 05 (Verlauf interne Beschwerde)</w:t>
      </w:r>
    </w:p>
    <w:p>
      <w:pPr>
        <w:pStyle w:val="ListBullet"/>
      </w:pPr>
      <w:r>
        <w:t>Akte 06 (DSGVO-Auskunft)</w:t>
      </w:r>
    </w:p>
    <w:p>
      <w:pPr>
        <w:pStyle w:val="ListBullet"/>
      </w:pPr>
      <w:r>
        <w:t>Akte 07 (Umsatzauswertung)</w:t>
      </w:r>
    </w:p>
    <w:p>
      <w:pPr>
        <w:pStyle w:val="ListBullet"/>
      </w:pPr>
      <w:r>
        <w:t>Akte 10 (Marktanalyse Lindheim &amp; Söhne)</w:t>
      </w:r>
    </w:p>
    <w:p>
      <w:pPr>
        <w:pStyle w:val="ListBullet"/>
      </w:pPr>
      <w:r>
        <w:t>Vollmacht (Akte 01)</w:t>
      </w:r>
    </w:p>
    <w:p>
      <w:pPr>
        <w:pStyle w:val="Heading3"/>
      </w:pPr>
      <w:r>
        <w:rPr>
          <w:rFonts w:ascii="Times New Roman" w:hAnsi="Times New Roman"/>
        </w:rPr>
        <w:t>Zusammenhang mit anderen Verfahren</w:t>
      </w:r>
    </w:p>
    <w:p>
      <w:pPr>
        <w:pStyle w:val="ListBullet"/>
      </w:pPr>
      <w:r>
        <w:t>Parallel beim LG Nürnberg-Fürth Eilantrag (siehe Akte 08) — Trennung zu Aufsichtsverfahren ausdrücklich gewünscht; Beschwerdeführerin sieht beide Wege als komplementär.</w:t>
      </w:r>
    </w:p>
    <w:p>
      <w:pPr>
        <w:pStyle w:val="ListBullet"/>
      </w:pPr>
      <w:r>
        <w:t>Beschwerde nach Art. 77 DSGVO an irische DPC parallel.</w:t>
      </w:r>
    </w:p>
    <w:p>
      <w:pPr>
        <w:pStyle w:val="ListBullet"/>
      </w:pPr>
      <w:r>
        <w:t>Forschungsantrag Dr. A. Vogelbroich (Uni Erlangen) Art. 40 DSA bekannt; getrennte Behandlung.</w:t>
      </w:r>
    </w:p>
    <w:p>
      <w:pPr>
        <w:pStyle w:val="Heading3"/>
      </w:pPr>
      <w:r>
        <w:rPr>
          <w:rFonts w:ascii="Times New Roman" w:hAnsi="Times New Roman"/>
        </w:rPr>
        <w:t>Verbleib</w:t>
      </w:r>
    </w:p>
    <w:p>
      <w:pPr>
        <w:jc w:val="left"/>
      </w:pPr>
      <w:r>
        <w:t>Wir bitten um Eingangsbestätigung binnen sieben Tagen und um Mitteilung des Aktenzeichens.</w:t>
      </w:r>
    </w:p>
    <w:p>
      <w:pPr>
        <w:jc w:val="left"/>
      </w:pPr>
      <w:r>
        <w:t>Erlangen, 18.05.2026</w:t>
      </w:r>
    </w:p>
    <w:p>
      <w:pPr>
        <w:jc w:val="left"/>
      </w:pPr>
      <w:r>
        <w:t>Dr. C. Hagenroth, Rechtsanwalt</w:t>
      </w:r>
    </w:p>
    <w:p/>
    <w:p>
      <w:pPr>
        <w:jc w:val="left"/>
      </w:pPr>
      <w:r>
        <w:rPr>
          <w:b/>
        </w:rPr>
        <w:t>Vermerk Kanzlei:</w:t>
      </w:r>
    </w:p>
    <w:p>
      <w:pPr>
        <w:pStyle w:val="ListBullet"/>
      </w:pPr>
      <w:r>
        <w:t>BNetzA kann nicht selbst gegen Glitzerwald-Ireland vorgehen — Zuständigkeit beim irischen DSC; aber Beschwerde am Sitz BF zulässig.</w:t>
      </w:r>
    </w:p>
    <w:p>
      <w:pPr>
        <w:pStyle w:val="ListBullet"/>
      </w:pPr>
      <w:r>
        <w:t>VLOP-Designation: aktueller Stand ist Verfahren ausgesetzt wegen Streit über Nutzerzählung; daher allein-Zuständigkeit Kommission noch nicht eingetreten.</w:t>
      </w:r>
    </w:p>
    <w:p>
      <w:pPr>
        <w:pStyle w:val="ListBullet"/>
      </w:pPr>
      <w:r>
        <w:t>Risiko der Mandantenexponierung: Beschwerde wird im Verfahren Glitzerwald bekannt; Schutz-Anonymisierungsantrag nach Art. 84 DSA prüfen.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DSC-Beschwerde an die Bundesnetzagentur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DSC-Beschwerde an die Bundesnetzagentur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Behörde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