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Interne Marktanalyse — Mitbewerber Lindheim &amp; Söhne KG</w:t>
      </w:r>
    </w:p>
    <w:p>
      <w:pPr>
        <w:jc w:val="left"/>
      </w:pPr>
      <w:r>
        <w:rPr>
          <w:b/>
        </w:rPr>
        <w:t>Erstellt:</w:t>
      </w:r>
      <w:r>
        <w:t xml:space="preserve"> Refrendarin Pfistermeier, geprüft Dr. Hagenroth</w:t>
      </w:r>
    </w:p>
    <w:p>
      <w:pPr>
        <w:jc w:val="left"/>
      </w:pPr>
      <w:r>
        <w:rPr>
          <w:b/>
        </w:rPr>
        <w:t>Datum:</w:t>
      </w:r>
      <w:r>
        <w:t xml:space="preserve"> 06.05.2026</w:t>
      </w:r>
    </w:p>
    <w:p>
      <w:pPr>
        <w:jc w:val="left"/>
      </w:pPr>
      <w:r>
        <w:rPr>
          <w:b/>
        </w:rPr>
        <w:t>Aktenzeichen:</w:t>
      </w:r>
      <w:r>
        <w:t xml:space="preserve"> 2026/0418 — Anlage 10</w:t>
      </w:r>
    </w:p>
    <w:p>
      <w:pPr>
        <w:pStyle w:val="Heading2"/>
      </w:pPr>
      <w:r>
        <w:rPr>
          <w:rFonts w:ascii="Times New Roman" w:hAnsi="Times New Roman"/>
        </w:rPr>
        <w:t>Profil Mitbewerber</w:t>
      </w:r>
    </w:p>
    <w:p>
      <w:pPr>
        <w:pStyle w:val="ListBullet"/>
      </w:pPr>
      <w:r>
        <w:rPr>
          <w:b/>
        </w:rPr>
        <w:t>Firma:</w:t>
      </w:r>
      <w:r>
        <w:t xml:space="preserve"> Lindheim &amp; Söhne KG, Sitz Schwabach (Mfr.)</w:t>
      </w:r>
    </w:p>
    <w:p>
      <w:pPr>
        <w:pStyle w:val="ListBullet"/>
      </w:pPr>
      <w:r>
        <w:rPr>
          <w:b/>
        </w:rPr>
        <w:t>Komplementär:</w:t>
      </w:r>
      <w:r>
        <w:t xml:space="preserve"> Egmont Friedolin Lindheim, geb. 14.09.1965</w:t>
      </w:r>
    </w:p>
    <w:p>
      <w:pPr>
        <w:pStyle w:val="ListBullet"/>
      </w:pPr>
      <w:r>
        <w:rPr>
          <w:b/>
        </w:rPr>
        <w:t>Kommanditisten:</w:t>
      </w:r>
      <w:r>
        <w:t xml:space="preserve"> Sohn Adalbert Lindheim, Tochter Reginhilde Lindheim-Bartelfink</w:t>
      </w:r>
    </w:p>
    <w:p>
      <w:pPr>
        <w:pStyle w:val="ListBullet"/>
      </w:pPr>
      <w:r>
        <w:rPr>
          <w:b/>
        </w:rPr>
        <w:t>Branche:</w:t>
      </w:r>
      <w:r>
        <w:t xml:space="preserve"> Antikrestaurierung und Stilmöbel-Replikate, klassisch fränkisch und Empire</w:t>
      </w:r>
    </w:p>
    <w:p>
      <w:pPr>
        <w:pStyle w:val="ListBullet"/>
      </w:pPr>
      <w:r>
        <w:rPr>
          <w:b/>
        </w:rPr>
        <w:t>Mitarbeiter:</w:t>
      </w:r>
      <w:r>
        <w:t xml:space="preserve"> 17 (Stand HRB-Auszug)</w:t>
      </w:r>
    </w:p>
    <w:p>
      <w:pPr>
        <w:pStyle w:val="ListBullet"/>
      </w:pPr>
      <w:r>
        <w:rPr>
          <w:b/>
        </w:rPr>
        <w:t>Glitzerwald-Account:</w:t>
      </w:r>
      <w:r>
        <w:t xml:space="preserve"> @lindheim_meisterwerkstatt, Account-Anlage 04.01.2026</w:t>
      </w:r>
    </w:p>
    <w:p>
      <w:pPr>
        <w:pStyle w:val="Heading2"/>
      </w:pPr>
      <w:r>
        <w:rPr>
          <w:rFonts w:ascii="Times New Roman" w:hAnsi="Times New Roman"/>
        </w:rPr>
        <w:t>Auffällige Daten zu @lindheim_meisterwerkstatt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Abonnenten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Auffälligkeit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Account-Erstellung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3 412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Plötzliche Reichweite, "Featured Account" laut Glitzerwald-Studio-Sicht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24 870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Empfohlen in Kategorie "Crafts &amp; Heritage"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51 200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Bezahlte Kampagne "GlitzerwaldShops Echtes Franken"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53 800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Tag der Sperre Meißnerlein — gleichzeitige Erhöhung der Empfehlungsrate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78 400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Weiteres Wachstum, Live-Stream-Reichweite &gt; 12 000</w:t>
            </w:r>
          </w:p>
        </w:tc>
      </w:tr>
    </w:tbl>
    <w:p>
      <w:pPr>
        <w:jc w:val="left"/>
      </w:pPr>
      <w:r>
        <w:t>Datenquelle: öffentliche Profilangaben, Glitzerwald-Werbearchiv (Art. 39 DSA), Glitzerwald-Studio-Datenexport eines befreundeten Drittnutzers, der seinen Account zur Reichweitenvergleichsmessung zur Verfügung stellte (Einwilligung schriftlich Akte 10a).</w:t>
      </w:r>
    </w:p>
    <w:p>
      <w:pPr>
        <w:pStyle w:val="Heading2"/>
      </w:pPr>
      <w:r>
        <w:rPr>
          <w:rFonts w:ascii="Times New Roman" w:hAnsi="Times New Roman"/>
        </w:rPr>
        <w:t>Auffälligkeiten</w:t>
      </w:r>
    </w:p>
    <w:p>
      <w:pPr>
        <w:pStyle w:val="ListNumber"/>
      </w:pPr>
      <w:r>
        <w:rPr>
          <w:b/>
        </w:rPr>
        <w:t>Marktplatzableger-Programm "GlitzerwaldShops"</w:t>
      </w:r>
    </w:p>
    <w:p>
      <w:pPr>
        <w:jc w:val="left"/>
      </w:pPr>
      <w:r>
        <w:t>Lindheim &amp; Söhne ist als Premier-Händler aufgeführt. Der Mandantin wurde Aufnahme im November 2025 ohne Begründung verweigert.</w:t>
      </w:r>
    </w:p>
    <w:p>
      <w:pPr>
        <w:pStyle w:val="ListNumber"/>
      </w:pPr>
      <w:r>
        <w:rPr>
          <w:b/>
        </w:rPr>
        <w:t>Empfehlungssystem-Spitzen</w:t>
      </w:r>
    </w:p>
    <w:p>
      <w:pPr>
        <w:jc w:val="left"/>
      </w:pPr>
      <w:r>
        <w:t>Posts von @lindheim_meisterwerkstatt erscheinen in der Kategorie "Crafts &amp; Heritage" deutlich häufiger als Posts vergleichbarer Accounts mit ähnlichem Engagement.</w:t>
      </w:r>
    </w:p>
    <w:p>
      <w:pPr>
        <w:pStyle w:val="ListNumber"/>
      </w:pPr>
      <w:r>
        <w:rPr>
          <w:b/>
        </w:rPr>
        <w:t>Werbearchiv-Eintragung</w:t>
      </w:r>
    </w:p>
    <w:p>
      <w:pPr>
        <w:jc w:val="left"/>
      </w:pPr>
      <w:r>
        <w:t>Werbeplatzierungen "Echtes Franken — Meisterstück bei Lindheim" laufen seit 01.02.2026 mit täglichem Budget &gt; 1 200 EUR (Werbearchiv Art. 39). Im Werbearchiv fehlen jedoch Angaben zu Targeting-Parametern.</w:t>
      </w:r>
    </w:p>
    <w:p>
      <w:pPr>
        <w:pStyle w:val="ListNumber"/>
      </w:pPr>
      <w:r>
        <w:rPr>
          <w:b/>
        </w:rPr>
        <w:t>Zeitliche Koinzidenz</w:t>
      </w:r>
      <w:r>
        <w:t xml:space="preserve"> mit der Sperrung des Mandantinnen-Accounts ist auffällig.</w:t>
      </w:r>
    </w:p>
    <w:p>
      <w:pPr>
        <w:pStyle w:val="Heading2"/>
      </w:pPr>
      <w:r>
        <w:rPr>
          <w:rFonts w:ascii="Times New Roman" w:hAnsi="Times New Roman"/>
        </w:rPr>
        <w:t>Wettbewerbsrechtliche Anker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Rechtsakt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Mögliche 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Träger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DSA Art. 17, 20, 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Empfehlungssystem Transparenz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DSC-Beschwerde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DMA Art. 6 Abs.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Self-Preferencing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wenn Glitzerwald Gatekeeper für KPD Vermittlungsdienst — nicht designiert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19a GWB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Marktübergreifende Bedeutung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BKartA-Beschwerde — Glitzerwald war 2025 designiert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4a UWG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Aggressive geschäftliche Handlung (Macht-Asymmetrie)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UWG-Klage zivil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 Nr. 4 UWG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Mitbewerberbehinderung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UWG-Klage zivil, primär gegen Lindheim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Strategische Bewertung</w:t>
      </w:r>
    </w:p>
    <w:p>
      <w:pPr>
        <w:pStyle w:val="ListBullet"/>
      </w:pPr>
      <w:r>
        <w:rPr>
          <w:b/>
        </w:rPr>
        <w:t>Direkte UWG-Klage gegen Lindheim</w:t>
      </w:r>
      <w:r>
        <w:t xml:space="preserve"> kaum erfolgversprechend, weil nicht nachweisbar, dass Lindheim selbst manipuliert hat</w:t>
      </w:r>
    </w:p>
    <w:p>
      <w:pPr>
        <w:pStyle w:val="ListBullet"/>
      </w:pPr>
      <w:r>
        <w:rPr>
          <w:b/>
        </w:rPr>
        <w:t>§ 19a GWB-Beschwerde an BKartA</w:t>
      </w:r>
      <w:r>
        <w:t xml:space="preserve"> prüfen: Glitzerwald war bereits 2025 als Unternehmen mit marktübergreifender Bedeutung designiert; Aufnahmeverweigerung des Mandantenladens in "GlitzerwaldShops" könnte Konditionenmissbrauch sein</w:t>
      </w:r>
    </w:p>
    <w:p>
      <w:pPr>
        <w:pStyle w:val="ListBullet"/>
      </w:pPr>
      <w:r>
        <w:rPr>
          <w:b/>
        </w:rPr>
        <w:t>DSC-Beschwerde Akte 09</w:t>
      </w:r>
      <w:r>
        <w:t xml:space="preserve"> deckt Empfehlungssystem-Frage ab — primärer Hebel</w:t>
      </w:r>
    </w:p>
    <w:p>
      <w:pPr>
        <w:pStyle w:val="ListBullet"/>
      </w:pPr>
      <w:r>
        <w:rPr>
          <w:b/>
        </w:rPr>
        <w:t>Forschungskooperation Dr. Vogelbroich</w:t>
      </w:r>
      <w:r>
        <w:t>: Untersuchung könnte Bias quantifizieren</w:t>
      </w:r>
    </w:p>
    <w:p>
      <w:pPr>
        <w:pStyle w:val="Heading2"/>
      </w:pPr>
      <w:r>
        <w:rPr>
          <w:rFonts w:ascii="Times New Roman" w:hAnsi="Times New Roman"/>
        </w:rPr>
        <w:t>Maßnahmenliste</w:t>
      </w:r>
    </w:p>
    <w:p>
      <w:pPr>
        <w:pStyle w:val="ListNumber"/>
      </w:pPr>
      <w:r>
        <w:t>Verlauf-Daten an Dr. Vogelbroich übermitteln (mit Einwilligung Mandantin; Forschungs-Datentreuhandvereinbarung)</w:t>
      </w:r>
    </w:p>
    <w:p>
      <w:pPr>
        <w:pStyle w:val="ListNumber"/>
      </w:pPr>
      <w:r>
        <w:t>§ 19a GWB-Beschwerdeentwurf erstellen — Refrendarin Pfistermeier bis 03.06.2026</w:t>
      </w:r>
    </w:p>
    <w:p>
      <w:pPr>
        <w:pStyle w:val="ListNumber"/>
      </w:pPr>
      <w:r>
        <w:t>Werbearchiv-Eintragungen vollständig sichern als Beweismittel</w:t>
      </w:r>
    </w:p>
    <w:p>
      <w:pPr>
        <w:pStyle w:val="ListNumber"/>
      </w:pPr>
      <w:r>
        <w:t>Hinweis an Mandantin: keine direkten Kontaktversuche mit Egmont Lindheim — nicht-anwaltliche Annäherung würde Strategie schwächen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Mitbewerber Lindheim &amp; Söhne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Mitbewerber Lindheim &amp; Söhne KG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Aktenzeichen: 2026/0418 — Anlage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