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Datenpanne Art. 33/34 DSGVO: SQL-Injection CVE-2026-0188</w:t>
      </w:r>
    </w:p>
    <w:p>
      <w:pPr>
        <w:jc w:val="left"/>
      </w:pPr>
      <w:r>
        <w:rPr>
          <w:b/>
        </w:rPr>
        <w:t>Aktenzeichen:</w:t>
      </w:r>
      <w:r>
        <w:t xml:space="preserve"> DSB-NW-44/26</w:t>
      </w:r>
    </w:p>
    <w:p>
      <w:pPr>
        <w:jc w:val="left"/>
      </w:pPr>
      <w:r>
        <w:rPr>
          <w:b/>
        </w:rPr>
        <w:t>Bearbeiter:</w:t>
      </w:r>
      <w:r>
        <w:t xml:space="preserve"> RA Dr. Cornelius Specht, Sachverständige SecureProof GmbH (Bochum)</w:t>
      </w:r>
    </w:p>
    <w:p>
      <w:pPr>
        <w:jc w:val="left"/>
      </w:pPr>
      <w:r>
        <w:rPr>
          <w:b/>
        </w:rPr>
        <w:t>Datum:</w:t>
      </w:r>
      <w:r>
        <w:t xml:space="preserve"> 20. Januar 2026</w:t>
      </w:r>
    </w:p>
    <w:p>
      <w:pPr>
        <w:jc w:val="left"/>
      </w:pPr>
      <w:r>
        <w:rPr>
          <w:b/>
        </w:rPr>
        <w:t>Betreff:</w:t>
      </w:r>
      <w:r>
        <w:t xml:space="preserve"> Analyse der Datenschutzverletzung, 72h-Meldepflichtverletzung, Schadensausmass</w:t>
      </w:r>
    </w:p>
    <w:p/>
    <w:p>
      <w:pPr>
        <w:pStyle w:val="Heading2"/>
      </w:pPr>
      <w:r>
        <w:rPr>
          <w:rFonts w:ascii="Times New Roman" w:hAnsi="Times New Roman"/>
        </w:rPr>
        <w:t>1. Technischer Sachverhalt</w:t>
      </w:r>
    </w:p>
    <w:p>
      <w:pPr>
        <w:pStyle w:val="Heading3"/>
      </w:pPr>
      <w:r>
        <w:rPr>
          <w:rFonts w:ascii="Times New Roman" w:hAnsi="Times New Roman"/>
        </w:rPr>
        <w:t>1.1 Schwachstelle CVE-2026-0188</w:t>
      </w:r>
    </w:p>
    <w:p>
      <w:pPr>
        <w:jc w:val="left"/>
      </w:pPr>
      <w:r>
        <w:t>Am 17. November 2025 identifizierte das externe Penetrationstestunternehmen SecureProof GmbH (Bochum) im Rahmen eines vereinbarten Black-Box-Tests eine kritische SQL-Injection-Schwachstelle (CVSS v3.1 Score: 9.8 — Kritisch) im Scoring-Backend von ProspectScore Pro.</w:t>
      </w:r>
    </w:p>
    <w:p>
      <w:pPr>
        <w:jc w:val="left"/>
      </w:pPr>
      <w:r>
        <w:rPr>
          <w:b/>
        </w:rPr>
        <w:t>Technische Details:</w:t>
      </w:r>
    </w:p>
    <w:p>
      <w:pPr>
        <w:pStyle w:val="ListBullet"/>
      </w:pPr>
      <w:r>
        <w:rPr>
          <w:b/>
        </w:rPr>
        <w:t>CVE-Nummer:</w:t>
      </w:r>
      <w:r>
        <w:t xml:space="preserve"> CVE-2026-0188</w:t>
      </w:r>
    </w:p>
    <w:p>
      <w:pPr>
        <w:pStyle w:val="ListBullet"/>
      </w:pPr>
      <w:r>
        <w:rPr>
          <w:b/>
        </w:rPr>
        <w:t>Komponente:</w:t>
      </w:r>
      <w:r>
        <w:t xml:space="preserve"> REST-API Endpoint </w:t>
      </w:r>
      <w:r>
        <w:t>/api/v3/prospect/search</w:t>
      </w:r>
      <w:r>
        <w:t xml:space="preserve"> (ProspectScore Pro v3.0.4)</w:t>
      </w:r>
    </w:p>
    <w:p>
      <w:pPr>
        <w:pStyle w:val="ListBullet"/>
      </w:pPr>
      <w:r>
        <w:rPr>
          <w:b/>
        </w:rPr>
        <w:t>Typ:</w:t>
      </w:r>
      <w:r>
        <w:t xml:space="preserve"> Blind-Time-Based SQL Injection (PostgreSQL 14.2)</w:t>
      </w:r>
    </w:p>
    <w:p>
      <w:pPr>
        <w:pStyle w:val="ListBullet"/>
      </w:pPr>
      <w:r>
        <w:rPr>
          <w:b/>
        </w:rPr>
        <w:t>Ausnutzbarkeit:</w:t>
      </w:r>
      <w:r>
        <w:t xml:space="preserve"> Remote, keine Authentifizierung erforderlich</w:t>
      </w:r>
    </w:p>
    <w:p>
      <w:pPr>
        <w:pStyle w:val="ListBullet"/>
      </w:pPr>
      <w:r>
        <w:rPr>
          <w:b/>
        </w:rPr>
        <w:t>Angriffsvektor:</w:t>
      </w:r>
      <w:r>
        <w:t xml:space="preserve"> HTTP-Parameter </w:t>
      </w:r>
      <w:r>
        <w:t>q</w:t>
      </w:r>
      <w:r>
        <w:t xml:space="preserve"> (Suchanfrage) ohne Eingabebereinigung</w:t>
      </w:r>
    </w:p>
    <w:p>
      <w:pPr>
        <w:jc w:val="left"/>
      </w:pPr>
      <w:r>
        <w:rPr>
          <w:b/>
        </w:rPr>
        <w:t>Angriffsmuster:</w:t>
      </w:r>
    </w:p>
    <w:p>
      <w:pPr>
        <w:jc w:val="left"/>
      </w:pPr>
      <w:r>
        <w:t>```</w:t>
      </w:r>
    </w:p>
    <w:p>
      <w:pPr>
        <w:jc w:val="left"/>
      </w:pPr>
      <w:r>
        <w:t>GET /api/v3/prospect/search?q=1'%20OR%20'1'%3D'1</w:t>
      </w:r>
    </w:p>
    <w:p>
      <w:pPr>
        <w:jc w:val="left"/>
      </w:pPr>
      <w:r>
        <w:t>Host: api.vermietercheck.de</w:t>
      </w:r>
    </w:p>
    <w:p>
      <w:pPr>
        <w:jc w:val="left"/>
      </w:pPr>
      <w:r>
        <w:t>(Beispiel-Payload fuer Demonstration)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1.2 Ausnutzung und Datenleak</w:t>
      </w:r>
    </w:p>
    <w:p>
      <w:pPr>
        <w:jc w:val="left"/>
      </w:pPr>
      <w:r>
        <w:t>Die Schwachstelle wurde laut Forensik-Bericht SecureProof (Bericht-Nr. SP-2025-4417) in der Zeit vom 22. November bis 24. November 2025 von einem externen Akteur ausgenutzt: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SecureProof identifiziert CVE-2026-0188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Interner Penetrationstest-Bericht an VCS-Leitung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Erstes Anzeichen externer Ausnutzung in Server-Logs (retrospektiv festgestellt)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22.-24.11.2025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Exfiltration von 142.300 Datensätzen über Staging-API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Anomalieerkennung schlägt an (AWS GuardDuty)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DevOps-Leiter informiert — Patch eingespielt (CVE-2026-0188-Fix)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DevOps-Leiter informiert GF — keine Meldung an LDI NRW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der 72h-Meldefrist (Art. 33 Abs. 1 DSGVO) ohne Meldung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LDI NRW erhält anonymen Hinweis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Betroffene Datensätze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Datenkategorie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betroffene Datensätze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DSGVO-Sensitivität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Name + Adresse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142.300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Personenbezogen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Schufa-Score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98.400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Negativmerkmale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Berufsangabe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139.100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88.700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ProspectScore (0–100)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142.300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E-Mail-Adresse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142.300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Rechtliche Bewertung der Meldepflichtverletzung</w:t>
      </w:r>
    </w:p>
    <w:p>
      <w:pPr>
        <w:pStyle w:val="Heading3"/>
      </w:pPr>
      <w:r>
        <w:rPr>
          <w:rFonts w:ascii="Times New Roman" w:hAnsi="Times New Roman"/>
        </w:rPr>
        <w:t>2.1 Meldepflicht Art. 33 DSGVO</w:t>
      </w:r>
    </w:p>
    <w:p>
      <w:pPr>
        <w:jc w:val="left"/>
      </w:pPr>
      <w:r>
        <w:t>Art. 33 Abs. 1 DSGVO verpflichtet den Verantwortlichen, im Falle einer Verletzung des Schutzes personenbezogener Daten unverzüglich — und wenn möglich binnen 72 Stunden — die zuständige Aufsichtsbehörde zu benachrichtigen.</w:t>
      </w:r>
    </w:p>
    <w:p>
      <w:pPr>
        <w:jc w:val="left"/>
      </w:pPr>
      <w:r>
        <w:rPr>
          <w:b/>
        </w:rPr>
        <w:t>Fristberechnung:</w:t>
      </w:r>
    </w:p>
    <w:p>
      <w:pPr>
        <w:pStyle w:val="ListBullet"/>
      </w:pPr>
      <w:r>
        <w:t>Zeitpunkt der Kenntniserlangung: 24.11.2025 (DevOps-Leiter informiert GF)</w:t>
      </w:r>
    </w:p>
    <w:p>
      <w:pPr>
        <w:pStyle w:val="ListBullet"/>
      </w:pPr>
      <w:r>
        <w:t>72h-Frist läuft ab: 27.11.2025 um [Uhrzeit der Kenntniserlangung]</w:t>
      </w:r>
    </w:p>
    <w:p>
      <w:pPr>
        <w:pStyle w:val="ListBullet"/>
      </w:pPr>
      <w:r>
        <w:t>Tatsächliche Meldung: Bis heute (20.01.2026) nicht erfolgt</w:t>
      </w:r>
    </w:p>
    <w:p>
      <w:pPr>
        <w:jc w:val="left"/>
      </w:pPr>
      <w:r>
        <w:rPr>
          <w:b/>
        </w:rPr>
        <w:t>Ergebnis:</w:t>
      </w:r>
      <w:r>
        <w:t xml:space="preserve"> Versäumnis der 72h-Meldepflicht. Art. 83 Abs. 4 lit. a DSGVO: Bussgeld bis 10.000.000 EUR.</w:t>
      </w:r>
    </w:p>
    <w:p>
      <w:pPr>
        <w:pStyle w:val="Heading3"/>
      </w:pPr>
      <w:r>
        <w:rPr>
          <w:rFonts w:ascii="Times New Roman" w:hAnsi="Times New Roman"/>
        </w:rPr>
        <w:t>2.2 Benachrichtigungspflicht Betroffene Art. 34 DSGVO</w:t>
      </w:r>
    </w:p>
    <w:p>
      <w:pPr>
        <w:jc w:val="left"/>
      </w:pPr>
      <w:r>
        <w:t>Art. 34 Abs. 1 DSGVO verpflichtet zum Benachrichtigen betroffener Personen, wenn voraussichtlich ein hohes Risiko für deren Rechte und Freiheiten besteht. Die Exfiltration von Schufa-Scores und Bonitätsdaten von 142.300 Personen begrindet eindeutig ein solches Risiko.</w:t>
      </w:r>
    </w:p>
    <w:p>
      <w:pPr>
        <w:jc w:val="left"/>
      </w:pPr>
      <w:r>
        <w:rPr>
          <w:b/>
        </w:rPr>
        <w:t>Ergebnis:</w:t>
      </w:r>
      <w:r>
        <w:t xml:space="preserve"> Auch die Benachrichtigung der Betroffenen gemäß Art. 34 DSGVO wurde versäumt.</w:t>
      </w:r>
    </w:p>
    <w:p>
      <w:pPr>
        <w:pStyle w:val="Heading3"/>
      </w:pPr>
      <w:r>
        <w:rPr>
          <w:rFonts w:ascii="Times New Roman" w:hAnsi="Times New Roman"/>
        </w:rPr>
        <w:t>2.3 Kann die verspae tete Meldung noch nachgeholt werden?</w:t>
      </w:r>
    </w:p>
    <w:p>
      <w:pPr>
        <w:jc w:val="left"/>
      </w:pPr>
      <w:r>
        <w:t>Ja. Art. 33 Abs. 1 DSGVO sieht vor: Erfolgt die Benachrichtigung nicht innerhalb von 72 Stunden, so ist ihr eine Begründung für die Verspätung beizufügen. Die Kanzlei SBD empfiehlt die sofortige Nachholung der Meldung mit:</w:t>
      </w:r>
    </w:p>
    <w:p>
      <w:pPr>
        <w:pStyle w:val="ListNumber"/>
      </w:pPr>
      <w:r>
        <w:t>Vollständiger Schadensdarstellung nach Art. 33 Abs. 3 DSGVO (Kategorien, Anzahl, Massnahmen)</w:t>
      </w:r>
    </w:p>
    <w:p>
      <w:pPr>
        <w:pStyle w:val="ListNumber"/>
      </w:pPr>
      <w:r>
        <w:t>Erklärung zur Verspätung (interne Kommunikationsversagen)</w:t>
      </w:r>
    </w:p>
    <w:p>
      <w:pPr>
        <w:pStyle w:val="ListNumber"/>
      </w:pPr>
      <w:r>
        <w:t>Nachweis des Patches und der forensischen Analyse</w:t>
      </w:r>
    </w:p>
    <w:p>
      <w:pPr>
        <w:pStyle w:val="ListNumber"/>
      </w:pPr>
      <w:r>
        <w:t>Angebot direkter Kooperation mit LDI NRW</w:t>
      </w:r>
    </w:p>
    <w:p/>
    <w:p>
      <w:pPr>
        <w:pStyle w:val="Heading2"/>
      </w:pPr>
      <w:r>
        <w:rPr>
          <w:rFonts w:ascii="Times New Roman" w:hAnsi="Times New Roman"/>
        </w:rPr>
        <w:t>3. Inhalt der nachzuholenden Meldung (Art. 33 Abs. 3 DSGVO)</w:t>
      </w:r>
    </w:p>
    <w:p>
      <w:pPr>
        <w:jc w:val="left"/>
      </w:pPr>
      <w:r>
        <w:t>Pflichtinhalte gemäß Art. 33 Abs. 3 DSGVO: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 der Verletzung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SQL-Injection-basierte Exfiltration (CVE-2026-0188)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Kategorien betroffener Personen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Mietinteressenten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Anzahl betroffener Personen (ungefähr)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142.300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Kategorien betroffener Datensätze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Bonitätsdaten, Kontaktdaten, Scoring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Anzahl betroffener Datensätze (ungefähr)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142.300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 und Kontaktdaten DSB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Hannelore Kessler-Brandt, dsb@vermietercheck.de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Wahrscheinliche Folgen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Identitätsdiebstahl, Kreditschäden, Phishing-Risiko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Massnahmen zur Schadensbegrenzung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Patch eingespielt, API abgeschaltet, Forensik beauftragt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NIS2-Meldepflicht</w:t>
      </w:r>
    </w:p>
    <w:p>
      <w:pPr>
        <w:jc w:val="left"/>
      </w:pPr>
      <w:r>
        <w:t>Zusätzlich zur DSGVO-Meldepflicht ist zu prüfen, ob VCS als Anbieter digitaler Dienste der NIS2-Richtlinie (EU 2022/2555) und dem nationalen Umsetzungsgesetz (BSIG-Novelle) unterliegt.</w:t>
      </w:r>
    </w:p>
    <w:p>
      <w:pPr>
        <w:jc w:val="left"/>
      </w:pPr>
      <w:r>
        <w:t>VCS betreibt eine B2B-SaaS-Plattform mit 12.400+ Nutzern. Soweit VCS als wesentlicher oder wichtiger Einrichtung im Sinne des Art. 3 NIS2 qualifiziert wird, besteht eine 24h-Frühwarnpflicht gegenüber dem BSI (§ 30 BSIG n.F.) und eine 72h-Meldepflicht mit Angabe des Schweregrads.</w:t>
      </w:r>
    </w:p>
    <w:p/>
    <w:p>
      <w:pPr>
        <w:pStyle w:val="Heading2"/>
      </w:pPr>
      <w:r>
        <w:rPr>
          <w:rFonts w:ascii="Times New Roman" w:hAnsi="Times New Roman"/>
        </w:rPr>
        <w:t>5. ISO 27001 und Meldepflicht</w:t>
      </w:r>
    </w:p>
    <w:p>
      <w:pPr>
        <w:jc w:val="left"/>
      </w:pPr>
      <w:r>
        <w:t>VCS hat ISO 27001 beantragt (s. Akte 19). Gemäß ISO 27001:2022 Annex A 5.26 (Response to information security incidents) waren folgende Schritte nach Entdeckung des Vorfalls unmittelbar verpflichtend:</w:t>
      </w:r>
    </w:p>
    <w:p>
      <w:pPr>
        <w:pStyle w:val="ListBullet"/>
      </w:pPr>
      <w:r>
        <w:t>Eskalation an Geschäftsleitung und CISO</w:t>
      </w:r>
    </w:p>
    <w:p>
      <w:pPr>
        <w:pStyle w:val="ListBullet"/>
      </w:pPr>
      <w:r>
        <w:t>Dokumentation in einem Incident-Response-Log</w:t>
      </w:r>
    </w:p>
    <w:p>
      <w:pPr>
        <w:pStyle w:val="ListBullet"/>
      </w:pPr>
      <w:r>
        <w:t>Benachrichtigung relevanter Behörden gemäß gesetzlicher Verpflichtung</w:t>
      </w:r>
    </w:p>
    <w:p>
      <w:pPr>
        <w:jc w:val="left"/>
      </w:pPr>
      <w:r>
        <w:t>Kein dieser Schritte wurde dokumentiert. Dies begrindet eine Zertifizierungsrelevante Nicht-Konformitaet (Non-Conformity) und kann zur Suspendierung des ISO-27001-Zertifikats führen.</w:t>
      </w:r>
    </w:p>
    <w:p/>
    <w:p>
      <w:pPr>
        <w:pStyle w:val="Heading2"/>
      </w:pPr>
      <w:r>
        <w:rPr>
          <w:rFonts w:ascii="Times New Roman" w:hAnsi="Times New Roman"/>
        </w:rPr>
        <w:t>6. Handlungsempfehlungen</w:t>
      </w:r>
    </w:p>
    <w:p>
      <w:pPr>
        <w:jc w:val="left"/>
      </w:pPr>
      <w:r>
        <w:rPr>
          <w:b/>
        </w:rPr>
        <w:t>Sofort (bis 22.01.2026):</w:t>
      </w:r>
    </w:p>
    <w:p>
      <w:pPr>
        <w:pStyle w:val="ListNumber"/>
      </w:pPr>
      <w:r>
        <w:t>Nachholung der LDI NRW-Meldung Art. 33 DSGVO (koordiniert mit Kanzlei SBD)</w:t>
      </w:r>
    </w:p>
    <w:p>
      <w:pPr>
        <w:pStyle w:val="ListNumber"/>
      </w:pPr>
      <w:r>
        <w:t>Benachrichtigung der 142.300 betroffenen Mietinteressenten Art. 34 DSGVO (Brief + E-Mail)</w:t>
      </w:r>
    </w:p>
    <w:p>
      <w:pPr>
        <w:pStyle w:val="ListNumber"/>
      </w:pPr>
      <w:r>
        <w:t>Einrichtung einer Betroffenen-Hotline und Schadensersatz-Informationsseite</w:t>
      </w:r>
    </w:p>
    <w:p>
      <w:pPr>
        <w:jc w:val="left"/>
      </w:pPr>
      <w:r>
        <w:rPr>
          <w:b/>
        </w:rPr>
        <w:t>Mittelfristig (bis 31.01.2026):</w:t>
      </w:r>
    </w:p>
    <w:p>
      <w:pPr>
        <w:pStyle w:val="ListNumber"/>
      </w:pPr>
      <w:r>
        <w:t>Beauftragung eines BSI-zertifizierten Forensik-Dienstleisters für vollständige Incident-Analyse</w:t>
      </w:r>
    </w:p>
    <w:p>
      <w:pPr>
        <w:pStyle w:val="ListNumber"/>
      </w:pPr>
      <w:r>
        <w:t>Umsetzung eines formalen Incident-Response-Prozesses nach ISO 27001:2022 Annex A 5.26</w:t>
      </w:r>
    </w:p>
    <w:p>
      <w:pPr>
        <w:pStyle w:val="ListNumber"/>
      </w:pPr>
      <w:r>
        <w:t>Pruefung BSI-Meldepflicht (NIS2) mit Rechtsberatung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33, 34, 83 — dejure.org/gesetze/DSGVO</w:t>
      </w:r>
    </w:p>
    <w:p>
      <w:pPr>
        <w:pStyle w:val="ListBullet"/>
      </w:pPr>
      <w:r>
        <w:t>NIS2-Richtlinie (EU) 2022/2555 — eur-lex.europa.eu</w:t>
      </w:r>
    </w:p>
    <w:p>
      <w:pPr>
        <w:pStyle w:val="ListBullet"/>
      </w:pPr>
      <w:r>
        <w:t>BSIG (KRITIS-Dachgesetz-Novelle) — dejure.org/gesetze/BSIG</w:t>
      </w:r>
    </w:p>
    <w:p>
      <w:pPr>
        <w:pStyle w:val="ListBullet"/>
      </w:pPr>
      <w:r>
        <w:t>EDSA-Leitlinien 01/2021 (Datenschutzverletzungen) — edpb.europa.eu</w:t>
      </w:r>
    </w:p>
    <w:p>
      <w:pPr>
        <w:pStyle w:val="ListBullet"/>
      </w:pPr>
      <w:r>
        <w:t>ISO/IEC 27001:2022, Annex A 5.26 — iso.org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Sachverständige SecureProof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Sachverständige SecureProof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Sachverständige SecureProof GmbH (Bochum) · Aktenzeichen: DSB-NW-44/26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