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ISO 27001 / TISAX: Compliance-Gap-Analyse</w:t>
      </w:r>
    </w:p>
    <w:p>
      <w:pPr>
        <w:jc w:val="left"/>
      </w:pPr>
      <w:r>
        <w:rPr>
          <w:b/>
        </w:rPr>
        <w:t>Aktenzeichen:</w:t>
      </w:r>
      <w:r>
        <w:t xml:space="preserve"> intern (Compliance-Akte)</w:t>
      </w:r>
    </w:p>
    <w:p>
      <w:pPr>
        <w:jc w:val="left"/>
      </w:pPr>
      <w:r>
        <w:rPr>
          <w:b/>
        </w:rPr>
        <w:t>Bearbeiter:</w:t>
      </w:r>
      <w:r>
        <w:t xml:space="preserve"> Externe Beratung SecureProof GmbH (Bochum), koordiniert RA Drosselberg</w:t>
      </w:r>
    </w:p>
    <w:p>
      <w:pPr>
        <w:jc w:val="left"/>
      </w:pPr>
      <w:r>
        <w:rPr>
          <w:b/>
        </w:rPr>
        <w:t>Datum:</w:t>
      </w:r>
      <w:r>
        <w:t xml:space="preserve"> 01. Februar 2026</w:t>
      </w:r>
    </w:p>
    <w:p>
      <w:pPr>
        <w:jc w:val="left"/>
      </w:pPr>
      <w:r>
        <w:rPr>
          <w:b/>
        </w:rPr>
        <w:t>Betreff:</w:t>
      </w:r>
      <w:r>
        <w:t xml:space="preserve"> Gap-Analyse ISO 27001:2022 und TISAX für VCS im Kontext der Vorfälle</w:t>
      </w:r>
    </w:p>
    <w:p/>
    <w:p>
      <w:pPr>
        <w:pStyle w:val="Heading2"/>
      </w:pPr>
      <w:r>
        <w:rPr>
          <w:rFonts w:ascii="Times New Roman" w:hAnsi="Times New Roman"/>
        </w:rPr>
        <w:t>1. Ausgangssituation</w:t>
      </w:r>
    </w:p>
    <w:p>
      <w:pPr>
        <w:jc w:val="left"/>
      </w:pPr>
      <w:r>
        <w:t>VCS befindet sich in einem laufenden ISO-27001-Zertifizierungsprozess (Auditor: TuVit GmbH, Essen, Stage-2-Audit geplant April 2026). Durch die Vorfälle (CVE-2026-0188, Datenpanne, fehlende TOM) ist dieses Zertifizierungsprojekt gefährdet.</w:t>
      </w:r>
    </w:p>
    <w:p>
      <w:pPr>
        <w:jc w:val="left"/>
      </w:pPr>
      <w:r>
        <w:t>TISAX (Trusted Information Security Assessment Exchange) ist für VCS relevant, wenn Automobilindustrie-Kunden (Vermieter mit Kfz-Lease-Hintergrund) oder potenzielle Kooperationspartner eine TISAX-Bewertung fordern. Derzeit hat VCS keine TISAX-Anforderung — es wird jedoch als Qualitätsmerkmal für den Markt angestrebt.</w:t>
      </w:r>
    </w:p>
    <w:p/>
    <w:p>
      <w:pPr>
        <w:pStyle w:val="Heading2"/>
      </w:pPr>
      <w:r>
        <w:rPr>
          <w:rFonts w:ascii="Times New Roman" w:hAnsi="Times New Roman"/>
        </w:rPr>
        <w:t>2. ISO 27001:2022 — Gap-Analyse</w:t>
      </w:r>
    </w:p>
    <w:p>
      <w:pPr>
        <w:pStyle w:val="Heading3"/>
      </w:pPr>
      <w:r>
        <w:rPr>
          <w:rFonts w:ascii="Times New Roman" w:hAnsi="Times New Roman"/>
        </w:rPr>
        <w:t>2.1 Kontext der Organisation (Kapitel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4.1 Verstehen der Organisation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Partiell (SWOT vorhanden, aber veraltet)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Aktualisieren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4.2 Anforderungen interessierter Parteien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Fehlt (Kunden, Regulatoren nicht systematisch erfasst)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Erstellen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4.3 ISMS-Anwendungsbereich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Definiert (Cloud: AWS eu-central-1)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Ausreichend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4.4 ISMS und seine Prozesse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Unvollständig (keine vollständige Prozessdokumentation)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Ergänzen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Führung (Kapitel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5.1 Führung und Verpflichtung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dokumentiert (GF hat DSFA ignoriert)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Sicherheitserklarung GF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5.2 Informationssicherheitspolitik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 (2022)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Aktualisieren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5.3 Rollen und Verantwortlichkeiten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Partiell (kein CISO formell ernannt)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CISO-Ernennung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2.3 Unterstützung (Kapitel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7.2 Kompetenz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Schulungen nicht dokumentiert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Schulungsnachweise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7.3 Bewusstsein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Awareness-Programm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Awareness-Kampagne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7.4 Kommunikation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IS-Kommunikation fehlt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Policy-Kommunikation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2.4 Betrieb (Kapitel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8.1 Betriebsplanung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Partiell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Ergänzen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8.2 Risikobeurteilung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jährlich durchgeführt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Jährlicher Zyklus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8.3 Risikobehandlung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dokumentierten Massnahmen zu Risiken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Risikobehandlungsplan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2.5 Leistungsbewertung (Kapitel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9.1 Überwachung und Messung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Fehlt (kein KPI-System für IT-Sicherheit)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KPI-Set definieren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9.2 Internes Audit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internes Audit durchgeführt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Audit-Programm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9.3 Managementbewertung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Jährliches Review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2.6 Annex A Kontrollen (Auswahl kritischer Lücken)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Kontrolle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5.23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Informationssicherheit für Cloud-Dienste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Partiell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5.24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Vorfallsmanagement-Planung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5.26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Reaktion auf Vorfälle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  <w:r>
              <w:rPr>
                <w:rFonts w:ascii="Times New Roman" w:hAnsi="Times New Roman"/>
                <w:sz w:val="20"/>
              </w:rPr>
              <w:t xml:space="preserve"> (CVE-2026-0188 zeigt dies)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5.30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IKT-Bereitschaft für Betriebskontinuität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8.8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Schwachstellenmanagement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  <w:r>
              <w:rPr>
                <w:rFonts w:ascii="Times New Roman" w:hAnsi="Times New Roman"/>
                <w:sz w:val="20"/>
              </w:rPr>
              <w:t xml:space="preserve"> (SQL-Injection nicht erkannt)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8.25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 im Entwicklungslebenszyklus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Partiell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8.29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Sicherheitstests in der Entwicklung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Unzureichend (kein SAST/DAST im CI/CD)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TISAX-Anforderungen (VDA ISA 6.0)</w:t>
      </w:r>
    </w:p>
    <w:p>
      <w:pPr>
        <w:jc w:val="left"/>
      </w:pPr>
      <w:r>
        <w:t>Für den Fall einer künftigen TISAX-Anforderung: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TISAX-Assessment-Ziel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 für VCS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Prüftiefe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 Security (AL 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(Kundendaten in SaaS-Plattform)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Standard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Prototype Protection (AL 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einschlägig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Data Protection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(DSGVO-Bezug)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Erweitert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TISAX-Assessment erst nach vollständiger ISO-27001-Zertifizierung anstreben (Synergieeffekte). Zieldatum: Q1 2027.</w:t>
      </w:r>
    </w:p>
    <w:p/>
    <w:p>
      <w:pPr>
        <w:pStyle w:val="Heading2"/>
      </w:pPr>
      <w:r>
        <w:rPr>
          <w:rFonts w:ascii="Times New Roman" w:hAnsi="Times New Roman"/>
        </w:rPr>
        <w:t>4. Auswirkungen auf ISO-Zertifizierungsprojekt</w:t>
      </w:r>
    </w:p>
    <w:p>
      <w:pPr>
        <w:pStyle w:val="Heading3"/>
      </w:pPr>
      <w:r>
        <w:rPr>
          <w:rFonts w:ascii="Times New Roman" w:hAnsi="Times New Roman"/>
        </w:rPr>
        <w:t>4.1 Non-Conformities (Nicht-Konformitaeten)</w:t>
      </w:r>
    </w:p>
    <w:p>
      <w:pPr>
        <w:jc w:val="left"/>
      </w:pPr>
      <w:r>
        <w:t>Aus den identifizierten Lücken ergeben sich folgende Non-Conformities, die im Stage-2-Audit zur Feststellung oder sogar zur Versagung der Zertifizierung führen können: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Non-Conformity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Zeitrahmen Behebung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Vorfallsmanagementprozess (A 5.24, A 5.26)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Major NC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15.03.2026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Schwachstellenmanagement (A 8.8)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Major NC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28.02.2026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internes Audit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Major NC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31.03.2026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Schulungen nicht dokumentiert (7.2)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Minor NC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15.03.2026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CISO ernannt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Minor NC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14.02.2026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4.2 Massnahmen zur Aufrechterhaltung des Zertifizierungsprojekts</w:t>
      </w:r>
    </w:p>
    <w:p>
      <w:pPr>
        <w:pStyle w:val="ListNumber"/>
      </w:pPr>
      <w:r>
        <w:rPr>
          <w:b/>
        </w:rPr>
        <w:t>Sofort (bis 07.02.2026):</w:t>
      </w:r>
      <w:r>
        <w:t xml:space="preserve"> CISO-Ernennung (Tarkan Bilgic als interimistischer CISO)</w:t>
      </w:r>
    </w:p>
    <w:p>
      <w:pPr>
        <w:pStyle w:val="ListNumber"/>
      </w:pPr>
      <w:r>
        <w:rPr>
          <w:b/>
        </w:rPr>
        <w:t>Kurzfristig (bis 28.02.2026):</w:t>
      </w:r>
      <w:r>
        <w:t xml:space="preserve"> Vorfallsmanagementprozess dokumentiert und implementiert</w:t>
      </w:r>
    </w:p>
    <w:p>
      <w:pPr>
        <w:pStyle w:val="ListNumber"/>
      </w:pPr>
      <w:r>
        <w:rPr>
          <w:b/>
        </w:rPr>
        <w:t>Kurzfristig (bis 28.02.2026):</w:t>
      </w:r>
      <w:r>
        <w:t xml:space="preserve"> Schwachstellenscan und Patching-Policy</w:t>
      </w:r>
    </w:p>
    <w:p>
      <w:pPr>
        <w:pStyle w:val="ListNumber"/>
      </w:pPr>
      <w:r>
        <w:rPr>
          <w:b/>
        </w:rPr>
        <w:t>Mittelfristig (bis 31.03.2026):</w:t>
      </w:r>
      <w:r>
        <w:t xml:space="preserve"> Internes Audit durchgeführt, Massnahmen dokumentiert</w:t>
      </w:r>
    </w:p>
    <w:p/>
    <w:p>
      <w:pPr>
        <w:pStyle w:val="Heading2"/>
      </w:pPr>
      <w:r>
        <w:rPr>
          <w:rFonts w:ascii="Times New Roman" w:hAnsi="Times New Roman"/>
        </w:rPr>
        <w:t>5. Bedeutung für Bussgeldverfahren (LDI NRW)</w:t>
      </w:r>
    </w:p>
    <w:p>
      <w:pPr>
        <w:jc w:val="left"/>
      </w:pPr>
      <w:r>
        <w:t>Der Nachweis einer ISO-27001-Zertifizierung (oder zumindest eines fortgeschrittenen Zertifizierungsprozesses) kann als Milderungsgrund im Bussgeldbescheidsverfahren wirken (Art. 83 Abs. 2 lit. j DSGVO: Einhaltung eines genehmigten Verhaltenskodex oder eines Zertifizierungsmechanismus).</w:t>
      </w:r>
    </w:p>
    <w:p>
      <w:pPr>
        <w:jc w:val="left"/>
      </w:pPr>
      <w:r>
        <w:rPr>
          <w:b/>
        </w:rPr>
        <w:t>Empfehlung:</w:t>
      </w:r>
      <w:r>
        <w:t xml:space="preserve"> Einreichung eines Statusberichts über den ISO-27001-Prozess und die Non-Conformity-Behebung als Anlage zur Stellungnahme an LDI NRW.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ISO/IEC 27001:2022 — iso.org</w:t>
      </w:r>
    </w:p>
    <w:p>
      <w:pPr>
        <w:pStyle w:val="ListBullet"/>
      </w:pPr>
      <w:r>
        <w:t>VDA ISA 6.0 (TISAX-Anforderungskatalog) — enx.com</w:t>
      </w:r>
    </w:p>
    <w:p>
      <w:pPr>
        <w:pStyle w:val="ListBullet"/>
      </w:pPr>
      <w:r>
        <w:t>DSGVO Art. 32, 83 — dejure.org/gesetze/DSGVO</w:t>
      </w:r>
    </w:p>
    <w:p>
      <w:pPr>
        <w:pStyle w:val="ListBullet"/>
      </w:pPr>
      <w:r>
        <w:t>BSI IT-Grundschutz — bsi.bund.de</w:t>
      </w:r>
    </w:p>
    <w:p>
      <w:pPr>
        <w:pStyle w:val="ListBullet"/>
      </w:pPr>
      <w:r>
        <w:t>OWASP ASVS 4.0 (Application Security Verification Standard) — owasp.org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Externe Beratung SecureProof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Externe Beratung SecureProof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koordiniert RA Drosselberg · Aktenzeichen: intern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