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Protokoll der Eigentümerversammlung WEG Rolandstraße 27a, Köln</w:t>
      </w:r>
    </w:p>
    <w:p>
      <w:pPr>
        <w:pStyle w:val="Heading2"/>
      </w:pPr>
      <w:r>
        <w:rPr>
          <w:rFonts w:ascii="Times New Roman" w:hAnsi="Times New Roman"/>
        </w:rPr>
        <w:t>Ordentliche Eigentümerversammlung vom 14. April 2026</w:t>
      </w:r>
    </w:p>
    <w:p/>
    <w:p>
      <w:pPr>
        <w:jc w:val="left"/>
      </w:pPr>
      <w:r>
        <w:rPr>
          <w:b/>
        </w:rPr>
        <w:t>Ort:</w:t>
      </w:r>
      <w:r>
        <w:t xml:space="preserve"> Rolandstraße 27a, Erdgeschoss (Gemeinschaftsraum), 50677 Köln</w:t>
      </w:r>
    </w:p>
    <w:p>
      <w:pPr>
        <w:jc w:val="left"/>
      </w:pPr>
      <w:r>
        <w:rPr>
          <w:b/>
        </w:rPr>
        <w:t>Datum:</w:t>
      </w:r>
      <w:r>
        <w:t xml:space="preserve"> Dienstag, 14. April 2026</w:t>
      </w:r>
    </w:p>
    <w:p>
      <w:pPr>
        <w:jc w:val="left"/>
      </w:pPr>
      <w:r>
        <w:rPr>
          <w:b/>
        </w:rPr>
        <w:t>Beginn:</w:t>
      </w:r>
      <w:r>
        <w:t xml:space="preserve"> 18:30 Uhr  </w:t>
      </w:r>
      <w:r>
        <w:rPr>
          <w:b/>
        </w:rPr>
        <w:t>Ende:</w:t>
      </w:r>
      <w:r>
        <w:t xml:space="preserve"> 22:15 Uhr</w:t>
      </w:r>
    </w:p>
    <w:p>
      <w:pPr>
        <w:jc w:val="left"/>
      </w:pPr>
      <w:r>
        <w:rPr>
          <w:b/>
        </w:rPr>
        <w:t>Verwalter:</w:t>
      </w:r>
      <w:r>
        <w:t xml:space="preserve"> Immobilienverwaltung Rheineck GmbH, Kerpener Straße 77, 50937 Köln</w:t>
      </w:r>
    </w:p>
    <w:p>
      <w:pPr>
        <w:jc w:val="left"/>
      </w:pPr>
      <w:r>
        <w:rPr>
          <w:b/>
        </w:rPr>
        <w:t>Versammlungsleiter:</w:t>
      </w:r>
      <w:r>
        <w:t xml:space="preserve"> Jürgen Rheineck (Geschäftsführer)</w:t>
      </w:r>
    </w:p>
    <w:p>
      <w:pPr>
        <w:jc w:val="left"/>
      </w:pPr>
      <w:r>
        <w:rPr>
          <w:b/>
        </w:rPr>
        <w:t>Protokollführerin:</w:t>
      </w:r>
      <w:r>
        <w:t xml:space="preserve"> Sabine Krämer (Mitarbeiterin Rheineck GmbH)</w:t>
      </w:r>
    </w:p>
    <w:p/>
    <w:p>
      <w:pPr>
        <w:pStyle w:val="Heading3"/>
      </w:pPr>
      <w:r>
        <w:rPr>
          <w:rFonts w:ascii="Times New Roman" w:hAnsi="Times New Roman"/>
        </w:rPr>
        <w:t>Anwesende und Vertretene Eigentümer</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Einheit</w:t>
            </w:r>
          </w:p>
        </w:tc>
        <w:tc>
          <w:tcPr>
            <w:tcW w:type="dxa" w:w="2268"/>
          </w:tcPr>
          <w:p>
            <w:r>
              <w:rPr>
                <w:rFonts w:ascii="Times New Roman" w:hAnsi="Times New Roman"/>
                <w:b/>
                <w:sz w:val="20"/>
              </w:rPr>
              <w:t>Eigentümer</w:t>
            </w:r>
          </w:p>
        </w:tc>
        <w:tc>
          <w:tcPr>
            <w:tcW w:type="dxa" w:w="2268"/>
          </w:tcPr>
          <w:p>
            <w:r>
              <w:rPr>
                <w:rFonts w:ascii="Times New Roman" w:hAnsi="Times New Roman"/>
                <w:b/>
                <w:sz w:val="20"/>
              </w:rPr>
              <w:t>MEA (Tsd.)</w:t>
            </w:r>
          </w:p>
        </w:tc>
        <w:tc>
          <w:tcPr>
            <w:tcW w:type="dxa" w:w="2268"/>
          </w:tcPr>
          <w:p>
            <w:r>
              <w:rPr>
                <w:rFonts w:ascii="Times New Roman" w:hAnsi="Times New Roman"/>
                <w:b/>
                <w:sz w:val="20"/>
              </w:rPr>
              <w:t>Anwesend</w:t>
            </w:r>
          </w:p>
        </w:tc>
      </w:tr>
      <w:tr>
        <w:tc>
          <w:tcPr>
            <w:tcW w:type="dxa" w:w="2268"/>
          </w:tcPr>
          <w:p>
            <w:r>
              <w:rPr>
                <w:rFonts w:ascii="Times New Roman" w:hAnsi="Times New Roman"/>
                <w:sz w:val="20"/>
              </w:rPr>
              <w:t>EG links (Nr. 1)</w:t>
            </w:r>
          </w:p>
        </w:tc>
        <w:tc>
          <w:tcPr>
            <w:tcW w:type="dxa" w:w="2268"/>
          </w:tcPr>
          <w:p>
            <w:r>
              <w:rPr>
                <w:rFonts w:ascii="Times New Roman" w:hAnsi="Times New Roman"/>
                <w:sz w:val="20"/>
              </w:rPr>
              <w:t>Familie Kowalczyk</w:t>
            </w:r>
          </w:p>
        </w:tc>
        <w:tc>
          <w:tcPr>
            <w:tcW w:type="dxa" w:w="2268"/>
          </w:tcPr>
          <w:p>
            <w:r>
              <w:rPr>
                <w:rFonts w:ascii="Times New Roman" w:hAnsi="Times New Roman"/>
                <w:sz w:val="20"/>
              </w:rPr>
              <w:t>172</w:t>
            </w:r>
          </w:p>
        </w:tc>
        <w:tc>
          <w:tcPr>
            <w:tcW w:type="dxa" w:w="2268"/>
          </w:tcPr>
          <w:p>
            <w:r>
              <w:rPr>
                <w:rFonts w:ascii="Times New Roman" w:hAnsi="Times New Roman"/>
                <w:sz w:val="20"/>
              </w:rPr>
              <w:t>Ja</w:t>
            </w:r>
          </w:p>
        </w:tc>
      </w:tr>
      <w:tr>
        <w:tc>
          <w:tcPr>
            <w:tcW w:type="dxa" w:w="2268"/>
          </w:tcPr>
          <w:p>
            <w:r>
              <w:rPr>
                <w:rFonts w:ascii="Times New Roman" w:hAnsi="Times New Roman"/>
                <w:sz w:val="20"/>
              </w:rPr>
              <w:t>EG rechts (Nr. 2)</w:t>
            </w:r>
          </w:p>
        </w:tc>
        <w:tc>
          <w:tcPr>
            <w:tcW w:type="dxa" w:w="2268"/>
          </w:tcPr>
          <w:p>
            <w:r>
              <w:rPr>
                <w:rFonts w:ascii="Times New Roman" w:hAnsi="Times New Roman"/>
                <w:sz w:val="20"/>
              </w:rPr>
              <w:t>Erbengemeinschaft Pütz</w:t>
            </w:r>
          </w:p>
        </w:tc>
        <w:tc>
          <w:tcPr>
            <w:tcW w:type="dxa" w:w="2268"/>
          </w:tcPr>
          <w:p>
            <w:r>
              <w:rPr>
                <w:rFonts w:ascii="Times New Roman" w:hAnsi="Times New Roman"/>
                <w:sz w:val="20"/>
              </w:rPr>
              <w:t>168</w:t>
            </w:r>
          </w:p>
        </w:tc>
        <w:tc>
          <w:tcPr>
            <w:tcW w:type="dxa" w:w="2268"/>
          </w:tcPr>
          <w:p>
            <w:r>
              <w:rPr>
                <w:rFonts w:ascii="Times New Roman" w:hAnsi="Times New Roman"/>
                <w:sz w:val="20"/>
              </w:rPr>
              <w:t>Vertreten durch Tochter Ingrid Pütz</w:t>
            </w:r>
          </w:p>
        </w:tc>
      </w:tr>
      <w:tr>
        <w:tc>
          <w:tcPr>
            <w:tcW w:type="dxa" w:w="2268"/>
          </w:tcPr>
          <w:p>
            <w:r>
              <w:rPr>
                <w:rFonts w:ascii="Times New Roman" w:hAnsi="Times New Roman"/>
                <w:sz w:val="20"/>
              </w:rPr>
              <w:t>1. OG links (Nr. 3)</w:t>
            </w:r>
          </w:p>
        </w:tc>
        <w:tc>
          <w:tcPr>
            <w:tcW w:type="dxa" w:w="2268"/>
          </w:tcPr>
          <w:p>
            <w:r>
              <w:rPr>
                <w:rFonts w:ascii="Times New Roman" w:hAnsi="Times New Roman"/>
                <w:sz w:val="20"/>
              </w:rPr>
              <w:t>Stefan und Kirsten Warnecke</w:t>
            </w:r>
          </w:p>
        </w:tc>
        <w:tc>
          <w:tcPr>
            <w:tcW w:type="dxa" w:w="2268"/>
          </w:tcPr>
          <w:p>
            <w:r>
              <w:rPr>
                <w:rFonts w:ascii="Times New Roman" w:hAnsi="Times New Roman"/>
                <w:sz w:val="20"/>
              </w:rPr>
              <w:t>180</w:t>
            </w:r>
          </w:p>
        </w:tc>
        <w:tc>
          <w:tcPr>
            <w:tcW w:type="dxa" w:w="2268"/>
          </w:tcPr>
          <w:p>
            <w:r>
              <w:rPr>
                <w:rFonts w:ascii="Times New Roman" w:hAnsi="Times New Roman"/>
                <w:sz w:val="20"/>
              </w:rPr>
              <w:t>Ja</w:t>
            </w:r>
          </w:p>
        </w:tc>
      </w:tr>
      <w:tr>
        <w:tc>
          <w:tcPr>
            <w:tcW w:type="dxa" w:w="2268"/>
          </w:tcPr>
          <w:p>
            <w:r>
              <w:rPr>
                <w:rFonts w:ascii="Times New Roman" w:hAnsi="Times New Roman"/>
                <w:sz w:val="20"/>
              </w:rPr>
              <w:t>1. OG rechts (Nr. 4)</w:t>
            </w:r>
          </w:p>
        </w:tc>
        <w:tc>
          <w:tcPr>
            <w:tcW w:type="dxa" w:w="2268"/>
          </w:tcPr>
          <w:p>
            <w:r>
              <w:rPr>
                <w:rFonts w:ascii="Times New Roman" w:hAnsi="Times New Roman"/>
                <w:sz w:val="20"/>
              </w:rPr>
              <w:t>Dr. Jürgen Baier-Lichtenberg</w:t>
            </w:r>
          </w:p>
        </w:tc>
        <w:tc>
          <w:tcPr>
            <w:tcW w:type="dxa" w:w="2268"/>
          </w:tcPr>
          <w:p>
            <w:r>
              <w:rPr>
                <w:rFonts w:ascii="Times New Roman" w:hAnsi="Times New Roman"/>
                <w:sz w:val="20"/>
              </w:rPr>
              <w:t>175</w:t>
            </w:r>
          </w:p>
        </w:tc>
        <w:tc>
          <w:tcPr>
            <w:tcW w:type="dxa" w:w="2268"/>
          </w:tcPr>
          <w:p>
            <w:r>
              <w:rPr>
                <w:rFonts w:ascii="Times New Roman" w:hAnsi="Times New Roman"/>
                <w:sz w:val="20"/>
              </w:rPr>
              <w:t>Ja</w:t>
            </w:r>
          </w:p>
        </w:tc>
      </w:tr>
      <w:tr>
        <w:tc>
          <w:tcPr>
            <w:tcW w:type="dxa" w:w="2268"/>
          </w:tcPr>
          <w:p>
            <w:r>
              <w:rPr>
                <w:rFonts w:ascii="Times New Roman" w:hAnsi="Times New Roman"/>
                <w:sz w:val="20"/>
              </w:rPr>
              <w:t>2. OG (Nr. 5)</w:t>
            </w:r>
          </w:p>
        </w:tc>
        <w:tc>
          <w:tcPr>
            <w:tcW w:type="dxa" w:w="2268"/>
          </w:tcPr>
          <w:p>
            <w:r>
              <w:rPr>
                <w:rFonts w:ascii="Times New Roman" w:hAnsi="Times New Roman"/>
                <w:sz w:val="20"/>
              </w:rPr>
              <w:t>Renate Baier-Lichtenberg (Schwester)</w:t>
            </w:r>
          </w:p>
        </w:tc>
        <w:tc>
          <w:tcPr>
            <w:tcW w:type="dxa" w:w="2268"/>
          </w:tcPr>
          <w:p>
            <w:r>
              <w:rPr>
                <w:rFonts w:ascii="Times New Roman" w:hAnsi="Times New Roman"/>
                <w:sz w:val="20"/>
              </w:rPr>
              <w:t>165</w:t>
            </w:r>
          </w:p>
        </w:tc>
        <w:tc>
          <w:tcPr>
            <w:tcW w:type="dxa" w:w="2268"/>
          </w:tcPr>
          <w:p>
            <w:r>
              <w:rPr>
                <w:rFonts w:ascii="Times New Roman" w:hAnsi="Times New Roman"/>
                <w:sz w:val="20"/>
              </w:rPr>
              <w:t>Ja</w:t>
            </w:r>
          </w:p>
        </w:tc>
      </w:tr>
      <w:tr>
        <w:tc>
          <w:tcPr>
            <w:tcW w:type="dxa" w:w="2268"/>
          </w:tcPr>
          <w:p>
            <w:r>
              <w:rPr>
                <w:rFonts w:ascii="Times New Roman" w:hAnsi="Times New Roman"/>
                <w:sz w:val="20"/>
              </w:rPr>
              <w:t>DG (Nr. 6)</w:t>
            </w:r>
          </w:p>
        </w:tc>
        <w:tc>
          <w:tcPr>
            <w:tcW w:type="dxa" w:w="2268"/>
          </w:tcPr>
          <w:p>
            <w:r>
              <w:rPr>
                <w:rFonts w:ascii="Times New Roman" w:hAnsi="Times New Roman"/>
                <w:sz w:val="20"/>
              </w:rPr>
              <w:t>Dr. Cornelia Straßburger / Dr. Boris Straßburger-Möhren</w:t>
            </w:r>
          </w:p>
        </w:tc>
        <w:tc>
          <w:tcPr>
            <w:tcW w:type="dxa" w:w="2268"/>
          </w:tcPr>
          <w:p>
            <w:r>
              <w:rPr>
                <w:rFonts w:ascii="Times New Roman" w:hAnsi="Times New Roman"/>
                <w:sz w:val="20"/>
              </w:rPr>
              <w:t>140</w:t>
            </w:r>
          </w:p>
        </w:tc>
        <w:tc>
          <w:tcPr>
            <w:tcW w:type="dxa" w:w="2268"/>
          </w:tcPr>
          <w:p>
            <w:r>
              <w:rPr>
                <w:rFonts w:ascii="Times New Roman" w:hAnsi="Times New Roman"/>
                <w:sz w:val="20"/>
              </w:rPr>
              <w:t>Ja</w:t>
            </w:r>
          </w:p>
        </w:tc>
      </w:tr>
      <w:tr>
        <w:tc>
          <w:tcPr>
            <w:tcW w:type="dxa" w:w="2268"/>
          </w:tcPr>
          <w:p>
            <w:r>
              <w:rPr>
                <w:rFonts w:ascii="Times New Roman" w:hAnsi="Times New Roman"/>
                <w:b/>
                <w:sz w:val="20"/>
              </w:rPr>
              <w:t>Gesamt</w:t>
            </w:r>
          </w:p>
        </w:tc>
        <w:tc>
          <w:tcPr>
            <w:tcW w:type="dxa" w:w="2268"/>
          </w:tcPr>
          <w:p/>
        </w:tc>
        <w:tc>
          <w:tcPr>
            <w:tcW w:type="dxa" w:w="2268"/>
          </w:tcPr>
          <w:p>
            <w:r>
              <w:rPr>
                <w:rFonts w:ascii="Times New Roman" w:hAnsi="Times New Roman"/>
                <w:b/>
                <w:sz w:val="20"/>
              </w:rPr>
              <w:t>1.000</w:t>
            </w:r>
          </w:p>
        </w:tc>
        <w:tc>
          <w:tcPr>
            <w:tcW w:type="dxa" w:w="2268"/>
          </w:tcPr>
          <w:p>
            <w:r>
              <w:rPr>
                <w:rFonts w:ascii="Times New Roman" w:hAnsi="Times New Roman"/>
                <w:sz w:val="20"/>
              </w:rPr>
              <w:t>6/6</w:t>
            </w:r>
          </w:p>
        </w:tc>
      </w:tr>
    </w:tbl>
    <w:p>
      <w:pPr>
        <w:jc w:val="left"/>
      </w:pPr>
      <w:r>
        <w:t>Beschlussfähigkeit festgestellt (alle Einheiten vertreten).</w:t>
      </w:r>
    </w:p>
    <w:p/>
    <w:p>
      <w:pPr>
        <w:pStyle w:val="Heading3"/>
      </w:pPr>
      <w:r>
        <w:rPr>
          <w:rFonts w:ascii="Times New Roman" w:hAnsi="Times New Roman"/>
        </w:rPr>
        <w:t>Tagesordnung</w:t>
      </w:r>
    </w:p>
    <w:p>
      <w:pPr>
        <w:pStyle w:val="ListNumber"/>
      </w:pPr>
      <w:r>
        <w:t>Begrüßung und Feststellung der Beschlussfähigkeit</w:t>
      </w:r>
    </w:p>
    <w:p>
      <w:pPr>
        <w:pStyle w:val="ListNumber"/>
      </w:pPr>
      <w:r>
        <w:t>Genehmigung des Protokolls der außerordentlichen EV vom 17.11.2025</w:t>
      </w:r>
    </w:p>
    <w:p>
      <w:pPr>
        <w:pStyle w:val="ListNumber"/>
      </w:pPr>
      <w:r>
        <w:t>Jahresabrechnung 2025 und Entlastung des Verwalters</w:t>
      </w:r>
    </w:p>
    <w:p>
      <w:pPr>
        <w:pStyle w:val="ListNumber"/>
      </w:pPr>
      <w:r>
        <w:t>Wirtschaftsplan 2026 (Hausgeld)</w:t>
      </w:r>
    </w:p>
    <w:p>
      <w:pPr>
        <w:pStyle w:val="ListNumber"/>
      </w:pPr>
      <w:r>
        <w:rPr>
          <w:b/>
        </w:rPr>
        <w:t>Beschluss: Treppenhaussanierung (Stuck, Parkett, Beleuchtung) inkl. Sonderumlage</w:t>
      </w:r>
    </w:p>
    <w:p>
      <w:pPr>
        <w:pStyle w:val="ListNumber"/>
      </w:pPr>
      <w:r>
        <w:rPr>
          <w:b/>
        </w:rPr>
        <w:t>Beschluss: Heizungsumstellung auf Sole-Wasser-Wärmepumpe (GEG)</w:t>
      </w:r>
    </w:p>
    <w:p>
      <w:pPr>
        <w:pStyle w:val="ListNumber"/>
      </w:pPr>
      <w:r>
        <w:t>Verwalterwiederwahl</w:t>
      </w:r>
    </w:p>
    <w:p>
      <w:pPr>
        <w:pStyle w:val="ListNumber"/>
      </w:pPr>
      <w:r>
        <w:t>Sonstiges</w:t>
      </w:r>
    </w:p>
    <w:p/>
    <w:p>
      <w:pPr>
        <w:pStyle w:val="Heading3"/>
      </w:pPr>
      <w:r>
        <w:rPr>
          <w:rFonts w:ascii="Times New Roman" w:hAnsi="Times New Roman"/>
        </w:rPr>
        <w:t>TOP 3 – Jahresabrechnung 2025</w:t>
      </w:r>
    </w:p>
    <w:p>
      <w:pPr>
        <w:jc w:val="left"/>
      </w:pPr>
      <w:r>
        <w:t xml:space="preserve">Verwalter Rheineck legt Jahresabrechnung 2025 vor (Gesamtkosten 38.420 EUR). Abrechnung wird nach Diskussion mit </w:t>
      </w:r>
      <w:r>
        <w:rPr>
          <w:b/>
        </w:rPr>
        <w:t>5:1-Stimmen</w:t>
      </w:r>
      <w:r>
        <w:t xml:space="preserve"> genehmigt (Gegenstimme: Straßburger). Entlastung des Verwalters für 2025 mit </w:t>
      </w:r>
      <w:r>
        <w:rPr>
          <w:b/>
        </w:rPr>
        <w:t>4:2-Stimmen</w:t>
      </w:r>
      <w:r>
        <w:t xml:space="preserve"> (Gegenstimmen: Straßburger, Warnecke).</w:t>
      </w:r>
    </w:p>
    <w:p/>
    <w:p>
      <w:pPr>
        <w:pStyle w:val="Heading3"/>
      </w:pPr>
      <w:r>
        <w:rPr>
          <w:rFonts w:ascii="Times New Roman" w:hAnsi="Times New Roman"/>
        </w:rPr>
        <w:t>TOP 4 – Wirtschaftsplan 2026</w:t>
      </w:r>
    </w:p>
    <w:p>
      <w:pPr>
        <w:jc w:val="left"/>
      </w:pPr>
      <w:r>
        <w:t xml:space="preserve">Wirtschaftsplan 2026 (Gesamtansatz 41.800 EUR, Hausgelderhöhung um ca. 8 %) wird mit </w:t>
      </w:r>
      <w:r>
        <w:rPr>
          <w:b/>
        </w:rPr>
        <w:t>4:2-Stimmen</w:t>
      </w:r>
      <w:r>
        <w:t xml:space="preserve"> genehmigt.</w:t>
      </w:r>
    </w:p>
    <w:p/>
    <w:p>
      <w:pPr>
        <w:pStyle w:val="Heading3"/>
      </w:pPr>
      <w:r>
        <w:rPr>
          <w:rFonts w:ascii="Times New Roman" w:hAnsi="Times New Roman"/>
        </w:rPr>
        <w:t>TOP 5 – Treppenhaussanierung inkl. Sonderumlage (</w:t>
      </w:r>
      <w:r>
        <w:rPr>
          <w:rFonts w:ascii="Times New Roman" w:hAnsi="Times New Roman"/>
          <w:b/>
        </w:rPr>
        <w:t>ANGEFOCHTENER BESCHLUSS</w:t>
      </w:r>
      <w:r>
        <w:rPr>
          <w:rFonts w:ascii="Times New Roman" w:hAnsi="Times New Roman"/>
        </w:rPr>
        <w:t>)</w:t>
      </w:r>
    </w:p>
    <w:p>
      <w:pPr>
        <w:jc w:val="left"/>
      </w:pPr>
      <w:r>
        <w:rPr>
          <w:b/>
        </w:rPr>
        <w:t>Verwalter Rheineck</w:t>
      </w:r>
      <w:r>
        <w:t xml:space="preserve"> stellt die Maßnahme vor: Das Treppenhaus im Altbau weist Schäden an Stuckdecken, Eichenparkett und der historischen Beleuchtungsanlage auf. Drei Restauratoren haben Angebote vorgelegt (Anlage 1a–1c zum Protokoll):</w:t>
      </w:r>
    </w:p>
    <w:p>
      <w:pPr>
        <w:pStyle w:val="ListBullet"/>
      </w:pPr>
      <w:r>
        <w:t xml:space="preserve">Restaurationsbetrieb Bauer GbR, Köln: </w:t>
      </w:r>
      <w:r>
        <w:rPr>
          <w:b/>
        </w:rPr>
        <w:t>47.800 EUR</w:t>
      </w:r>
      <w:r>
        <w:t xml:space="preserve"> netto</w:t>
      </w:r>
    </w:p>
    <w:p>
      <w:pPr>
        <w:pStyle w:val="ListBullet"/>
      </w:pPr>
      <w:r>
        <w:t xml:space="preserve">Atelier Konservierung Huck, Bonn: </w:t>
      </w:r>
      <w:r>
        <w:rPr>
          <w:b/>
        </w:rPr>
        <w:t>49.200 EUR</w:t>
      </w:r>
      <w:r>
        <w:t xml:space="preserve"> netto</w:t>
      </w:r>
    </w:p>
    <w:p>
      <w:pPr>
        <w:pStyle w:val="ListBullet"/>
      </w:pPr>
      <w:r>
        <w:t xml:space="preserve">Denkmalrestaurierung Kern &amp; Partner, Köln: </w:t>
      </w:r>
      <w:r>
        <w:rPr>
          <w:b/>
        </w:rPr>
        <w:t>44.900 EUR</w:t>
      </w:r>
      <w:r>
        <w:t xml:space="preserve"> netto (Vorzugsangebot)</w:t>
      </w:r>
    </w:p>
    <w:p>
      <w:pPr>
        <w:jc w:val="left"/>
      </w:pPr>
      <w:r>
        <w:t xml:space="preserve">Kern &amp; Partner wird empfohlen. Nebenkosten (Bauleitung, Gerüst, Malerarbeiten) ca. 9.500 EUR. Gesamtkosten inkl. MwSt.: ca. </w:t>
      </w:r>
      <w:r>
        <w:rPr>
          <w:b/>
        </w:rPr>
        <w:t>64.800 EUR</w:t>
      </w:r>
      <w:r>
        <w:t xml:space="preserve"> netto zzgl. 19 % = </w:t>
      </w:r>
      <w:r>
        <w:rPr>
          <w:b/>
        </w:rPr>
        <w:t>77.112 EUR</w:t>
      </w:r>
      <w:r>
        <w:t xml:space="preserve"> brutto. Mit Unvorhergesehenem: </w:t>
      </w:r>
      <w:r>
        <w:rPr>
          <w:b/>
        </w:rPr>
        <w:t>ca. 81.000 EUR</w:t>
      </w:r>
      <w:r>
        <w:t xml:space="preserve"> Planwert. Sonderumlage: </w:t>
      </w:r>
      <w:r>
        <w:rPr>
          <w:b/>
        </w:rPr>
        <w:t>142.000 EUR</w:t>
      </w:r>
      <w:r>
        <w:t xml:space="preserve"> (Puffer für Bauzeit­verlängerung und Folgearbeiten an Fassade). Verteilung nach MEA (1.000 Tsd. Anteile):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Einheit</w:t>
            </w:r>
          </w:p>
        </w:tc>
        <w:tc>
          <w:tcPr>
            <w:tcW w:type="dxa" w:w="3024"/>
          </w:tcPr>
          <w:p>
            <w:r>
              <w:rPr>
                <w:rFonts w:ascii="Times New Roman" w:hAnsi="Times New Roman"/>
                <w:b/>
                <w:sz w:val="20"/>
              </w:rPr>
              <w:t>MEA</w:t>
            </w:r>
          </w:p>
        </w:tc>
        <w:tc>
          <w:tcPr>
            <w:tcW w:type="dxa" w:w="3024"/>
          </w:tcPr>
          <w:p>
            <w:r>
              <w:rPr>
                <w:rFonts w:ascii="Times New Roman" w:hAnsi="Times New Roman"/>
                <w:b/>
                <w:sz w:val="20"/>
              </w:rPr>
              <w:t>Betrag</w:t>
            </w:r>
          </w:p>
        </w:tc>
      </w:tr>
      <w:tr>
        <w:tc>
          <w:tcPr>
            <w:tcW w:type="dxa" w:w="3024"/>
          </w:tcPr>
          <w:p>
            <w:r>
              <w:rPr>
                <w:rFonts w:ascii="Times New Roman" w:hAnsi="Times New Roman"/>
                <w:sz w:val="20"/>
              </w:rPr>
              <w:t>Nr. 1 (Kowalczyk)</w:t>
            </w:r>
          </w:p>
        </w:tc>
        <w:tc>
          <w:tcPr>
            <w:tcW w:type="dxa" w:w="3024"/>
          </w:tcPr>
          <w:p>
            <w:r>
              <w:rPr>
                <w:rFonts w:ascii="Times New Roman" w:hAnsi="Times New Roman"/>
                <w:sz w:val="20"/>
              </w:rPr>
              <w:t>172</w:t>
            </w:r>
          </w:p>
        </w:tc>
        <w:tc>
          <w:tcPr>
            <w:tcW w:type="dxa" w:w="3024"/>
          </w:tcPr>
          <w:p>
            <w:r>
              <w:rPr>
                <w:rFonts w:ascii="Times New Roman" w:hAnsi="Times New Roman"/>
                <w:sz w:val="20"/>
              </w:rPr>
              <w:t>24.424 EUR</w:t>
            </w:r>
          </w:p>
        </w:tc>
      </w:tr>
      <w:tr>
        <w:tc>
          <w:tcPr>
            <w:tcW w:type="dxa" w:w="3024"/>
          </w:tcPr>
          <w:p>
            <w:r>
              <w:rPr>
                <w:rFonts w:ascii="Times New Roman" w:hAnsi="Times New Roman"/>
                <w:sz w:val="20"/>
              </w:rPr>
              <w:t>Nr. 2 (Pütz)</w:t>
            </w:r>
          </w:p>
        </w:tc>
        <w:tc>
          <w:tcPr>
            <w:tcW w:type="dxa" w:w="3024"/>
          </w:tcPr>
          <w:p>
            <w:r>
              <w:rPr>
                <w:rFonts w:ascii="Times New Roman" w:hAnsi="Times New Roman"/>
                <w:sz w:val="20"/>
              </w:rPr>
              <w:t>168</w:t>
            </w:r>
          </w:p>
        </w:tc>
        <w:tc>
          <w:tcPr>
            <w:tcW w:type="dxa" w:w="3024"/>
          </w:tcPr>
          <w:p>
            <w:r>
              <w:rPr>
                <w:rFonts w:ascii="Times New Roman" w:hAnsi="Times New Roman"/>
                <w:sz w:val="20"/>
              </w:rPr>
              <w:t>23.856 EUR</w:t>
            </w:r>
          </w:p>
        </w:tc>
      </w:tr>
      <w:tr>
        <w:tc>
          <w:tcPr>
            <w:tcW w:type="dxa" w:w="3024"/>
          </w:tcPr>
          <w:p>
            <w:r>
              <w:rPr>
                <w:rFonts w:ascii="Times New Roman" w:hAnsi="Times New Roman"/>
                <w:sz w:val="20"/>
              </w:rPr>
              <w:t>Nr. 3 (Warnecke)</w:t>
            </w:r>
          </w:p>
        </w:tc>
        <w:tc>
          <w:tcPr>
            <w:tcW w:type="dxa" w:w="3024"/>
          </w:tcPr>
          <w:p>
            <w:r>
              <w:rPr>
                <w:rFonts w:ascii="Times New Roman" w:hAnsi="Times New Roman"/>
                <w:sz w:val="20"/>
              </w:rPr>
              <w:t>180</w:t>
            </w:r>
          </w:p>
        </w:tc>
        <w:tc>
          <w:tcPr>
            <w:tcW w:type="dxa" w:w="3024"/>
          </w:tcPr>
          <w:p>
            <w:r>
              <w:rPr>
                <w:rFonts w:ascii="Times New Roman" w:hAnsi="Times New Roman"/>
                <w:sz w:val="20"/>
              </w:rPr>
              <w:t>25.560 EUR</w:t>
            </w:r>
          </w:p>
        </w:tc>
      </w:tr>
      <w:tr>
        <w:tc>
          <w:tcPr>
            <w:tcW w:type="dxa" w:w="3024"/>
          </w:tcPr>
          <w:p>
            <w:r>
              <w:rPr>
                <w:rFonts w:ascii="Times New Roman" w:hAnsi="Times New Roman"/>
                <w:sz w:val="20"/>
              </w:rPr>
              <w:t>Nr. 4 (Baier-Lichtenberg)</w:t>
            </w:r>
          </w:p>
        </w:tc>
        <w:tc>
          <w:tcPr>
            <w:tcW w:type="dxa" w:w="3024"/>
          </w:tcPr>
          <w:p>
            <w:r>
              <w:rPr>
                <w:rFonts w:ascii="Times New Roman" w:hAnsi="Times New Roman"/>
                <w:sz w:val="20"/>
              </w:rPr>
              <w:t>175</w:t>
            </w:r>
          </w:p>
        </w:tc>
        <w:tc>
          <w:tcPr>
            <w:tcW w:type="dxa" w:w="3024"/>
          </w:tcPr>
          <w:p>
            <w:r>
              <w:rPr>
                <w:rFonts w:ascii="Times New Roman" w:hAnsi="Times New Roman"/>
                <w:sz w:val="20"/>
              </w:rPr>
              <w:t>24.850 EUR</w:t>
            </w:r>
          </w:p>
        </w:tc>
      </w:tr>
      <w:tr>
        <w:tc>
          <w:tcPr>
            <w:tcW w:type="dxa" w:w="3024"/>
          </w:tcPr>
          <w:p>
            <w:r>
              <w:rPr>
                <w:rFonts w:ascii="Times New Roman" w:hAnsi="Times New Roman"/>
                <w:sz w:val="20"/>
              </w:rPr>
              <w:t>Nr. 5 (R. Baier-Lichtenberg)</w:t>
            </w:r>
          </w:p>
        </w:tc>
        <w:tc>
          <w:tcPr>
            <w:tcW w:type="dxa" w:w="3024"/>
          </w:tcPr>
          <w:p>
            <w:r>
              <w:rPr>
                <w:rFonts w:ascii="Times New Roman" w:hAnsi="Times New Roman"/>
                <w:sz w:val="20"/>
              </w:rPr>
              <w:t>165</w:t>
            </w:r>
          </w:p>
        </w:tc>
        <w:tc>
          <w:tcPr>
            <w:tcW w:type="dxa" w:w="3024"/>
          </w:tcPr>
          <w:p>
            <w:r>
              <w:rPr>
                <w:rFonts w:ascii="Times New Roman" w:hAnsi="Times New Roman"/>
                <w:sz w:val="20"/>
              </w:rPr>
              <w:t>23.430 EUR</w:t>
            </w:r>
          </w:p>
        </w:tc>
      </w:tr>
      <w:tr>
        <w:tc>
          <w:tcPr>
            <w:tcW w:type="dxa" w:w="3024"/>
          </w:tcPr>
          <w:p>
            <w:r>
              <w:rPr>
                <w:rFonts w:ascii="Times New Roman" w:hAnsi="Times New Roman"/>
                <w:sz w:val="20"/>
              </w:rPr>
              <w:t>Nr. 6 (Straßburger)</w:t>
            </w:r>
          </w:p>
        </w:tc>
        <w:tc>
          <w:tcPr>
            <w:tcW w:type="dxa" w:w="3024"/>
          </w:tcPr>
          <w:p>
            <w:r>
              <w:rPr>
                <w:rFonts w:ascii="Times New Roman" w:hAnsi="Times New Roman"/>
                <w:sz w:val="20"/>
              </w:rPr>
              <w:t>140</w:t>
            </w:r>
          </w:p>
        </w:tc>
        <w:tc>
          <w:tcPr>
            <w:tcW w:type="dxa" w:w="3024"/>
          </w:tcPr>
          <w:p>
            <w:r>
              <w:rPr>
                <w:rFonts w:ascii="Times New Roman" w:hAnsi="Times New Roman"/>
                <w:b/>
                <w:sz w:val="20"/>
              </w:rPr>
              <w:t>19.880 EUR</w:t>
            </w:r>
          </w:p>
        </w:tc>
      </w:tr>
      <w:tr>
        <w:tc>
          <w:tcPr>
            <w:tcW w:type="dxa" w:w="3024"/>
          </w:tcPr>
          <w:p>
            <w:r>
              <w:rPr>
                <w:rFonts w:ascii="Times New Roman" w:hAnsi="Times New Roman"/>
                <w:b/>
                <w:sz w:val="20"/>
              </w:rPr>
              <w:t>Gesamt</w:t>
            </w:r>
          </w:p>
        </w:tc>
        <w:tc>
          <w:tcPr>
            <w:tcW w:type="dxa" w:w="3024"/>
          </w:tcPr>
          <w:p>
            <w:r>
              <w:rPr>
                <w:rFonts w:ascii="Times New Roman" w:hAnsi="Times New Roman"/>
                <w:sz w:val="20"/>
              </w:rPr>
              <w:t>1.000</w:t>
            </w:r>
          </w:p>
        </w:tc>
        <w:tc>
          <w:tcPr>
            <w:tcW w:type="dxa" w:w="3024"/>
          </w:tcPr>
          <w:p>
            <w:r>
              <w:rPr>
                <w:rFonts w:ascii="Times New Roman" w:hAnsi="Times New Roman"/>
                <w:b/>
                <w:sz w:val="20"/>
              </w:rPr>
              <w:t>142.000 EUR</w:t>
            </w:r>
          </w:p>
        </w:tc>
      </w:tr>
    </w:tbl>
    <w:p>
      <w:pPr>
        <w:jc w:val="left"/>
      </w:pPr>
      <w:r>
        <w:rPr>
          <w:b/>
        </w:rPr>
        <w:t>Diskussion:</w:t>
      </w:r>
      <w:r>
        <w:t xml:space="preserve"> Dr. Boris Straßburger-Möhren erklärt, dass die Sonderumlage in keinem Verhältnis zum tatsächlichen Schadensbefund stehe. Er hat ein eigenes Gegengutachten seiner Bürogemeinschaft Möhren+Partner vorgelegt, das den Sanierungsbedarf auf ca. 28.000–35.000 EUR (netto) schätzt. Der Stuck sei lediglich in Teilbereichen des 2. OG schadhaft. Das Parkett sei ästhetisch veraltet, aber tragfähig. Eine Sonderumlage von 142.000 EUR stelle keine „ordnungsgemäße Verwaltung" im Sinne des § 19 WEG dar.</w:t>
      </w:r>
    </w:p>
    <w:p>
      <w:pPr>
        <w:jc w:val="left"/>
      </w:pPr>
      <w:r>
        <w:t>Frau Dr. Cornelia Straßburger schließt sich dem Widerspruch an.</w:t>
      </w:r>
    </w:p>
    <w:p>
      <w:pPr>
        <w:jc w:val="left"/>
      </w:pPr>
      <w:r>
        <w:rPr>
          <w:b/>
        </w:rPr>
        <w:t>Abstimmung:</w:t>
      </w:r>
      <w:r>
        <w:t xml:space="preserve"> Kowalczyk: Ja / Pütz: Ja / Warnecke: Ja / Baier-Lichtenberg (Nr. 4): Ja / Baier-Lichtenberg (Nr. 5): Ja / Straßburger: </w:t>
      </w:r>
      <w:r>
        <w:rPr>
          <w:b/>
        </w:rPr>
        <w:t>Nein</w:t>
      </w:r>
    </w:p>
    <w:p>
      <w:pPr>
        <w:jc w:val="left"/>
      </w:pPr>
      <w:r>
        <w:rPr>
          <w:b/>
        </w:rPr>
        <w:t>Ergebnis: 5:1 angenommen</w:t>
      </w:r>
      <w:r>
        <w:t xml:space="preserve"> (nach MEA: 860:140 — Beschluss gilt).</w:t>
      </w:r>
    </w:p>
    <w:p>
      <w:pPr>
        <w:ind w:left="567"/>
      </w:pPr>
      <w:r>
        <w:rPr>
          <w:b/>
          <w:i/>
        </w:rPr>
        <w:t>Beschluss-Nr. 2026/5:</w:t>
      </w:r>
      <w:r>
        <w:rPr>
          <w:i/>
        </w:rPr>
        <w:t xml:space="preserve"> Die WEG Rolandstraße 27a beschließt die Sanierung des Treppenhauses (Stuckdecken, Eichenparkett, Beleuchtung) gemäß Angebot Kern &amp; Partner (Planwert 81.000 EUR) und erhebt eine Sonderumlage von 142.000 EUR, fällig in zwei Raten: 50 % am 01.06.2026, 50 % am 01.09.2026, jeweils nach MEA.</w:t>
      </w:r>
    </w:p>
    <w:p>
      <w:pPr>
        <w:jc w:val="left"/>
      </w:pPr>
      <w:r>
        <w:t>Dr. Straßburger-Möhren erklärt zu Protokoll: „Wir fechten diesen Beschluss an."</w:t>
      </w:r>
    </w:p>
    <w:p/>
    <w:p>
      <w:pPr>
        <w:pStyle w:val="Heading3"/>
      </w:pPr>
      <w:r>
        <w:rPr>
          <w:rFonts w:ascii="Times New Roman" w:hAnsi="Times New Roman"/>
        </w:rPr>
        <w:t>TOP 6 – Heizungsumstellung Sole-Wasser-Wärmepumpe</w:t>
      </w:r>
    </w:p>
    <w:p>
      <w:pPr>
        <w:jc w:val="left"/>
      </w:pPr>
      <w:r>
        <w:rPr>
          <w:b/>
        </w:rPr>
        <w:t>Verwalter Rheineck</w:t>
      </w:r>
      <w:r>
        <w:t xml:space="preserve"> stellt GEG-Sanierungspflicht (Gasheizung Baujahr 2018, voraussichtlich bis 2034 ohne GEG-Anforderungen) und Förderung BEG vor. Angebot Energietechnik Scholl GmbH: 98.500 EUR (Anlage 2 zum Protokoll). Klärungsbedarf: Tiefenbohrung im Innenhof (Bergrecht? Baugenehmigung? Denkmalschutz Rolandstraße).</w:t>
      </w:r>
    </w:p>
    <w:p>
      <w:pPr>
        <w:jc w:val="left"/>
      </w:pPr>
      <w:r>
        <w:rPr>
          <w:b/>
        </w:rPr>
        <w:t>Diskussion:</w:t>
      </w:r>
      <w:r>
        <w:t xml:space="preserve"> Rechtslage unklar. Dr. Straßburger-Möhren verweist auf fehlende bergrechtliche Erlaubnis für Erdbohrungen in innerstädtischen Bereichen (§ 127 BBergG). Verwalter schlägt vor, zunächst Rechtsgutachten einzuholen.</w:t>
      </w:r>
    </w:p>
    <w:p>
      <w:pPr>
        <w:jc w:val="left"/>
      </w:pPr>
      <w:r>
        <w:rPr>
          <w:b/>
        </w:rPr>
        <w:t>Abstimmung:</w:t>
      </w:r>
      <w:r>
        <w:t xml:space="preserve"> 4:2 angenommen (Gegenstimmen: Straßburger, Warnecke).</w:t>
      </w:r>
    </w:p>
    <w:p>
      <w:pPr>
        <w:ind w:left="567"/>
      </w:pPr>
      <w:r>
        <w:rPr>
          <w:b/>
          <w:i/>
        </w:rPr>
        <w:t>Beschluss-Nr. 2026/6:</w:t>
      </w:r>
      <w:r>
        <w:rPr>
          <w:i/>
        </w:rPr>
        <w:t xml:space="preserve"> Die WEG beschließt die Prüfung und ggf. Umsetzung einer Sole-Wasser-Wärmepumpe gem. Angebot Scholl GmbH, vorbehaltlich der Klärung aller behördlichen Genehmigungen und der bergrechtlichen Zulässigkeit. Ein Rechtsgutachten ist einzuholen.</w:t>
      </w:r>
    </w:p>
    <w:p/>
    <w:p>
      <w:pPr>
        <w:pStyle w:val="Heading3"/>
      </w:pPr>
      <w:r>
        <w:rPr>
          <w:rFonts w:ascii="Times New Roman" w:hAnsi="Times New Roman"/>
        </w:rPr>
        <w:t>TOP 7 – Verwalterwiederwahl</w:t>
      </w:r>
    </w:p>
    <w:p>
      <w:pPr>
        <w:jc w:val="left"/>
      </w:pPr>
      <w:r>
        <w:t xml:space="preserve">Immobilienverwaltung Rheineck GmbH wird mit </w:t>
      </w:r>
      <w:r>
        <w:rPr>
          <w:b/>
        </w:rPr>
        <w:t>5:1-Stimmen</w:t>
      </w:r>
      <w:r>
        <w:t xml:space="preserve"> für weitere 3 Jahre (bis 2029) wiedergewählt.</w:t>
      </w:r>
    </w:p>
    <w:p/>
    <w:p>
      <w:pPr>
        <w:pStyle w:val="Heading3"/>
      </w:pPr>
      <w:r>
        <w:rPr>
          <w:rFonts w:ascii="Times New Roman" w:hAnsi="Times New Roman"/>
        </w:rPr>
        <w:t>TOP 8 – Sonstiges</w:t>
      </w:r>
    </w:p>
    <w:p>
      <w:pPr>
        <w:jc w:val="left"/>
      </w:pPr>
      <w:r>
        <w:t>Keine weiteren Punkte.</w:t>
      </w:r>
    </w:p>
    <w:p/>
    <w:p>
      <w:pPr>
        <w:jc w:val="left"/>
      </w:pPr>
      <w:r>
        <w:rPr>
          <w:b/>
        </w:rPr>
        <w:t>Versammlungsleiter:</w:t>
      </w:r>
      <w:r>
        <w:t xml:space="preserve"> Jürgen Rheineck</w:t>
      </w:r>
    </w:p>
    <w:p>
      <w:pPr>
        <w:jc w:val="left"/>
      </w:pPr>
      <w:r>
        <w:rPr>
          <w:b/>
        </w:rPr>
        <w:t>Protokollführerin:</w:t>
      </w:r>
      <w:r>
        <w:t xml:space="preserve"> Sabine Krämer</w:t>
      </w:r>
    </w:p>
    <w:p>
      <w:pPr>
        <w:jc w:val="left"/>
      </w:pPr>
      <w:r>
        <w:rPr>
          <w:i/>
        </w:rPr>
        <w:t>Köln, 20. April 2026</w:t>
      </w:r>
    </w:p>
    <w:p>
      <w:pPr>
        <w:jc w:val="left"/>
      </w:pPr>
      <w:r>
        <w:t>Unterschriften der erschienenen Eigentümer:</w:t>
      </w:r>
    </w:p>
    <w:p>
      <w:pPr>
        <w:jc w:val="left"/>
      </w:pPr>
      <w:r>
        <w:t xml:space="preserve">Kowalczyk _____ / Pütz _____ / Warnecke _____ / Baier-Lichtenberg _____ / Baier-Lichtenberg _____ / </w:t>
      </w:r>
      <w:r>
        <w:rPr>
          <w:b/>
        </w:rPr>
        <w:t>Straßburger (unter Vorbehalt der Anfechtung)</w:t>
      </w:r>
      <w:r>
        <w:t xml:space="preserve"> _____</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Immobilienverwaltung Rheineck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4"/>
      </w:rPr>
      <w:t>Immobilienverwaltung Rheineck GmbH</w:t>
    </w:r>
  </w:p>
  <w:p>
    <w:pPr>
      <w:jc w:val="left"/>
      <w:pBdr>
        <w:bottom w:val="single" w:sz="6" w:space="2" w:color="7B2D3B"/>
      </w:pBdr>
    </w:pPr>
    <w:r>
      <w:rPr>
        <w:rFonts w:ascii="Times New Roman" w:hAnsi="Times New Roman"/>
        <w:color w:val="6B6B66"/>
        <w:sz w:val="16"/>
      </w:rPr>
      <w:t>Kerpener Straße 77, 50937 Köln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