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Anfechtungsklage – Beschluss Treppenhaussanierung</w:t>
      </w:r>
    </w:p>
    <w:p>
      <w:pPr>
        <w:jc w:val="left"/>
      </w:pPr>
      <w:r>
        <w:rPr>
          <w:b/>
        </w:rPr>
        <w:t>Amtsgericht Köln</w:t>
      </w:r>
    </w:p>
    <w:p>
      <w:pPr>
        <w:jc w:val="left"/>
      </w:pPr>
      <w:r>
        <w:t>Justizzentrum Köln</w:t>
      </w:r>
    </w:p>
    <w:p>
      <w:pPr>
        <w:jc w:val="left"/>
      </w:pPr>
      <w:r>
        <w:t>Luxemburger Straße 101</w:t>
      </w:r>
    </w:p>
    <w:p>
      <w:pPr>
        <w:jc w:val="left"/>
      </w:pPr>
      <w:r>
        <w:t>50939 Köln</w:t>
      </w:r>
    </w:p>
    <w:p>
      <w:pPr>
        <w:jc w:val="left"/>
      </w:pPr>
      <w:r>
        <w:t xml:space="preserve">Köln, den </w:t>
      </w:r>
      <w:r>
        <w:rPr>
          <w:b/>
        </w:rPr>
        <w:t>12. Mai 2026</w:t>
      </w:r>
    </w:p>
    <w:p/>
    <w:p>
      <w:pPr>
        <w:jc w:val="left"/>
      </w:pPr>
      <w:r>
        <w:rPr>
          <w:b/>
        </w:rPr>
        <w:t>Kläger:</w:t>
      </w:r>
    </w:p>
    <w:p>
      <w:pPr>
        <w:pStyle w:val="ListNumber"/>
      </w:pPr>
      <w:r>
        <w:t>Dr. Cornelia Straßburger, Bachemer Straße 84, 50931 Köln-Lindenthal</w:t>
      </w:r>
    </w:p>
    <w:p>
      <w:pPr>
        <w:pStyle w:val="ListNumber"/>
      </w:pPr>
      <w:r>
        <w:t>Dr. Boris Straßburger-Möhren, Bachemer Straße 84, 50931 Köln-Lindenthal</w:t>
      </w:r>
    </w:p>
    <w:p>
      <w:pPr>
        <w:jc w:val="left"/>
      </w:pPr>
      <w:r>
        <w:rPr>
          <w:i/>
        </w:rPr>
        <w:t>(beide vertreten durch)</w:t>
      </w:r>
    </w:p>
    <w:p>
      <w:pPr>
        <w:jc w:val="left"/>
      </w:pPr>
      <w:r>
        <w:rPr>
          <w:b/>
        </w:rPr>
        <w:t>Rechtsanwältin Vanessa Hauck-Brüggemann</w:t>
      </w:r>
    </w:p>
    <w:p>
      <w:pPr>
        <w:jc w:val="left"/>
      </w:pPr>
      <w:r>
        <w:t>Fachanwältin für Miet- und WEG-Recht</w:t>
      </w:r>
    </w:p>
    <w:p>
      <w:pPr>
        <w:jc w:val="left"/>
      </w:pPr>
      <w:r>
        <w:t>Kanzlei Hauck-Brüggemann Mietrecht</w:t>
      </w:r>
    </w:p>
    <w:p>
      <w:pPr>
        <w:jc w:val="left"/>
      </w:pPr>
      <w:r>
        <w:t>Berrenrather Straße 114, 50937 Köln-Sülz</w:t>
      </w:r>
    </w:p>
    <w:p>
      <w:pPr>
        <w:jc w:val="left"/>
      </w:pPr>
      <w:r>
        <w:rPr>
          <w:b/>
        </w:rPr>
        <w:t>Beklagte:</w:t>
      </w:r>
    </w:p>
    <w:p>
      <w:pPr>
        <w:jc w:val="left"/>
      </w:pPr>
      <w:r>
        <w:t>Die übrigen Wohnungseigentümer der Gemeinschaft Rolandstraße 27a, 50677 Köln</w:t>
      </w:r>
    </w:p>
    <w:p>
      <w:pPr>
        <w:jc w:val="left"/>
      </w:pPr>
      <w:r>
        <w:t>(WEG vertreten durch Verwalterin: Immobilienverwaltung Rheineck GmbH, Kerpener Straße 77, 50937 Köln)</w:t>
      </w:r>
    </w:p>
    <w:p/>
    <w:p>
      <w:pPr>
        <w:pStyle w:val="Heading2"/>
      </w:pPr>
      <w:r>
        <w:rPr>
          <w:rFonts w:ascii="Times New Roman" w:hAnsi="Times New Roman"/>
        </w:rPr>
        <w:t>Klage</w:t>
      </w:r>
    </w:p>
    <w:p>
      <w:pPr>
        <w:jc w:val="left"/>
      </w:pPr>
      <w:r>
        <w:t>In dem Rechtsstreit</w:t>
      </w:r>
    </w:p>
    <w:p>
      <w:pPr>
        <w:jc w:val="left"/>
      </w:pPr>
      <w:r>
        <w:rPr>
          <w:b/>
        </w:rPr>
        <w:t>Dr. Cornelia Straßburger und Dr. Boris Straßburger-Möhren</w:t>
      </w:r>
    </w:p>
    <w:p>
      <w:pPr>
        <w:jc w:val="left"/>
      </w:pPr>
      <w:r>
        <w:t>– Kläger –</w:t>
      </w:r>
    </w:p>
    <w:p>
      <w:pPr>
        <w:jc w:val="left"/>
      </w:pPr>
      <w:r>
        <w:t>gegen</w:t>
      </w:r>
    </w:p>
    <w:p>
      <w:pPr>
        <w:jc w:val="left"/>
      </w:pPr>
      <w:r>
        <w:rPr>
          <w:b/>
        </w:rPr>
        <w:t>die Wohnungseigentümergemeinschaft Rolandstraße 27a, 50677 Köln (übrige Eigentümer)</w:t>
      </w:r>
    </w:p>
    <w:p>
      <w:pPr>
        <w:jc w:val="left"/>
      </w:pPr>
      <w:r>
        <w:t>– Beklagte –</w:t>
      </w:r>
    </w:p>
    <w:p>
      <w:pPr>
        <w:jc w:val="left"/>
      </w:pPr>
      <w:r>
        <w:t>erheben wir namens und in Vollmacht der Kläger</w:t>
      </w:r>
    </w:p>
    <w:p>
      <w:pPr>
        <w:pStyle w:val="Heading3"/>
      </w:pPr>
      <w:r>
        <w:rPr>
          <w:rFonts w:ascii="Times New Roman" w:hAnsi="Times New Roman"/>
          <w:b/>
        </w:rPr>
        <w:t>Anfechtungsklage</w:t>
      </w:r>
    </w:p>
    <w:p>
      <w:pPr>
        <w:jc w:val="left"/>
      </w:pPr>
      <w:r>
        <w:t xml:space="preserve">gemäß § 44 Abs. 1 Satz 1 WEG gegen den Beschluss der Wohnungseigentümerversammlung vom </w:t>
      </w:r>
      <w:r>
        <w:rPr>
          <w:b/>
        </w:rPr>
        <w:t>14. April 2026</w:t>
      </w:r>
      <w:r>
        <w:t xml:space="preserve">, </w:t>
      </w:r>
      <w:r>
        <w:rPr>
          <w:b/>
        </w:rPr>
        <w:t>Beschluss-Nr. 2026/5</w:t>
      </w:r>
      <w:r>
        <w:t>, Tagesordnungspunkt 5 (Treppenhaussanierung inkl. Sonderumlage 142.000 EUR).</w:t>
      </w:r>
    </w:p>
    <w:p/>
    <w:p>
      <w:pPr>
        <w:pStyle w:val="Heading3"/>
      </w:pPr>
      <w:r>
        <w:rPr>
          <w:rFonts w:ascii="Times New Roman" w:hAnsi="Times New Roman"/>
        </w:rPr>
        <w:t>I. Antrag</w:t>
      </w:r>
    </w:p>
    <w:p>
      <w:pPr>
        <w:jc w:val="left"/>
      </w:pPr>
      <w:r>
        <w:t>Die Kläger beantragen:</w:t>
      </w:r>
    </w:p>
    <w:p>
      <w:pPr>
        <w:jc w:val="left"/>
      </w:pPr>
      <w:r>
        <w:rPr>
          <w:b/>
        </w:rPr>
        <w:t>Den Beschluss der Wohnungseigentümerversammlung WEG Rolandstraße 27a, Köln vom 14. April 2026 (Beschluss-Nr. 2026/5) über die Sanierung des Treppenhauses nebst Erhebung einer Sonderumlage von 142.000 EUR für ungültig zu erklären.</w:t>
      </w:r>
    </w:p>
    <w:p>
      <w:pPr>
        <w:jc w:val="left"/>
      </w:pPr>
      <w:r>
        <w:t>Hilfsweise: Den Beschluss auf ein Sanierungsvolumen zu reduzieren, das dem tatsächlichen Instandhaltungsbedarf entspricht, und die Sonderumlage entsprechend zu begrenzen.</w:t>
      </w:r>
    </w:p>
    <w:p/>
    <w:p>
      <w:pPr>
        <w:pStyle w:val="Heading3"/>
      </w:pPr>
      <w:r>
        <w:rPr>
          <w:rFonts w:ascii="Times New Roman" w:hAnsi="Times New Roman"/>
        </w:rPr>
        <w:t>II. Sachverhalt</w:t>
      </w:r>
    </w:p>
    <w:p>
      <w:pPr>
        <w:pStyle w:val="Heading3"/>
      </w:pPr>
      <w:r>
        <w:rPr>
          <w:rFonts w:ascii="Times New Roman" w:hAnsi="Times New Roman"/>
        </w:rPr>
        <w:t>1. Gegenstand des angefochtenen Beschlusses</w:t>
      </w:r>
    </w:p>
    <w:p>
      <w:pPr>
        <w:jc w:val="left"/>
      </w:pPr>
      <w:r>
        <w:t>Am 14. April 2026 beschloss die Wohnungseigentümerversammlung der WEG Rolandstraße 27a mit 5:1-Stimmen (nach MEA: 860:140) die Sanierung des gemeinschaftlichen Treppenhauses. Der Beschluss umfasst:</w:t>
      </w:r>
    </w:p>
    <w:p>
      <w:pPr>
        <w:pStyle w:val="ListBullet"/>
      </w:pPr>
      <w:r>
        <w:t>Restaurierung der Stuckdecken (Gemeinschaftseigentum)</w:t>
      </w:r>
    </w:p>
    <w:p>
      <w:pPr>
        <w:pStyle w:val="ListBullet"/>
      </w:pPr>
      <w:r>
        <w:t>Erneuerung des Eichenparketts im Treppenhaus</w:t>
      </w:r>
    </w:p>
    <w:p>
      <w:pPr>
        <w:pStyle w:val="ListBullet"/>
      </w:pPr>
      <w:r>
        <w:t>Erneuerung der historischen Beleuchtungsanlage</w:t>
      </w:r>
    </w:p>
    <w:p>
      <w:pPr>
        <w:pStyle w:val="ListBullet"/>
      </w:pPr>
      <w:r>
        <w:t>Beauftragung Denkmalrestaurierung Kern &amp; Partner, Köln</w:t>
      </w:r>
    </w:p>
    <w:p>
      <w:pPr>
        <w:jc w:val="left"/>
      </w:pPr>
      <w:r>
        <w:t xml:space="preserve">Die beschlossene Sonderumlage beträgt </w:t>
      </w:r>
      <w:r>
        <w:rPr>
          <w:b/>
        </w:rPr>
        <w:t>142.000 EUR</w:t>
      </w:r>
      <w:r>
        <w:t>, aufgeteilt nach Miteigentumsanteilen in zwei Raten zum 01.06.2026 und 01.09.2026.</w:t>
      </w:r>
    </w:p>
    <w:p>
      <w:pPr>
        <w:pStyle w:val="Heading3"/>
      </w:pPr>
      <w:r>
        <w:rPr>
          <w:rFonts w:ascii="Times New Roman" w:hAnsi="Times New Roman"/>
        </w:rPr>
        <w:t>2. Stellung der Kläger</w:t>
      </w:r>
    </w:p>
    <w:p>
      <w:pPr>
        <w:jc w:val="left"/>
      </w:pPr>
      <w:r>
        <w:t xml:space="preserve">Die Kläger sind Eigentümer der Einheit Nr. 6 (DG) mit einem Miteigentumsanteil von 140/1000. Ihr Anteil an der Sonderumlage beträgt </w:t>
      </w:r>
      <w:r>
        <w:rPr>
          <w:b/>
        </w:rPr>
        <w:t>19.880 EUR</w:t>
      </w:r>
      <w:r>
        <w:t>. Sie haben dem Beschluss ausdrücklich widersprochen und zu Protokoll erklärt, Anfechtungsklage zu erheben.</w:t>
      </w:r>
    </w:p>
    <w:p/>
    <w:p>
      <w:pPr>
        <w:pStyle w:val="Heading3"/>
      </w:pPr>
      <w:r>
        <w:rPr>
          <w:rFonts w:ascii="Times New Roman" w:hAnsi="Times New Roman"/>
        </w:rPr>
        <w:t>III. Rechtliche Begründung</w:t>
      </w:r>
    </w:p>
    <w:p>
      <w:pPr>
        <w:pStyle w:val="Heading3"/>
      </w:pPr>
      <w:r>
        <w:rPr>
          <w:rFonts w:ascii="Times New Roman" w:hAnsi="Times New Roman"/>
        </w:rPr>
        <w:t>1. Zulässigkeit</w:t>
      </w:r>
    </w:p>
    <w:p>
      <w:pPr>
        <w:jc w:val="left"/>
      </w:pPr>
      <w:r>
        <w:t>Die Klage ist gemäß § 44 Abs. 1 WEG statthaft. Sie ist fristgerecht eingelegt: Der Beschluss wurde am 14.04.2026 gefasst; die Anfechtungsklage ging am 12.05.2026 beim Amtsgericht ein, also innerhalb der Monatsfrist des § 45 Satz 1 WEG (berechnet vom Tag nach der Versammlung: Fristende 14.05.2026). Die Kläger sind anfechtungsberechtigt (§ 44 Abs. 1 WEG), da sie der Versammlung angehörten und ausdrücklich Widerspruch zu Protokoll erklärt haben.</w:t>
      </w:r>
    </w:p>
    <w:p>
      <w:pPr>
        <w:jc w:val="left"/>
      </w:pPr>
      <w:r>
        <w:t>Das Amtsgericht Köln ist örtlich zuständig nach § 43 Abs. 2 Nr. 1 WEG (Belegenheit des Grundstücks).</w:t>
      </w:r>
    </w:p>
    <w:p>
      <w:pPr>
        <w:jc w:val="left"/>
      </w:pPr>
      <w:r>
        <w:rPr>
          <w:b/>
        </w:rPr>
        <w:t>Aktenzeichen:</w:t>
      </w:r>
      <w:r>
        <w:t xml:space="preserve"> 205 C 67/26</w:t>
      </w:r>
    </w:p>
    <w:p>
      <w:pPr>
        <w:pStyle w:val="Heading3"/>
      </w:pPr>
      <w:r>
        <w:rPr>
          <w:rFonts w:ascii="Times New Roman" w:hAnsi="Times New Roman"/>
        </w:rPr>
        <w:t>2. Begründetheit – Verstoß gegen ordnungsgemäße Verwaltung (§ 18 Abs. 2 i. V. m. § 19 WEG)</w:t>
      </w:r>
    </w:p>
    <w:p>
      <w:pPr>
        <w:jc w:val="left"/>
      </w:pPr>
      <w:r>
        <w:t>Der Beschluss entspricht nicht ordnungsgemäßer Verwaltung. Er ist daher gemäß § 44 Abs. 1 WEG für ungültig zu erklären. Im Einzelnen:</w:t>
      </w:r>
    </w:p>
    <w:p>
      <w:pPr>
        <w:jc w:val="left"/>
      </w:pPr>
      <w:r>
        <w:rPr>
          <w:b/>
        </w:rPr>
        <w:t>(a) Unverhältnismäßige Sonderumlage</w:t>
      </w:r>
    </w:p>
    <w:p>
      <w:pPr>
        <w:jc w:val="left"/>
      </w:pPr>
      <w:r>
        <w:t xml:space="preserve">Der tatsächliche Sanierungsbedarf wird vom Kläger Dr. Boris Straßburger-Möhren (Architekt, Bürogemeinschaft Möhren+Partner) in einem Fachgutachten auf </w:t>
      </w:r>
      <w:r>
        <w:rPr>
          <w:b/>
        </w:rPr>
        <w:t>28.000–35.000 EUR netto</w:t>
      </w:r>
      <w:r>
        <w:t xml:space="preserve"> geschätzt. Schadhafte Stuckflächen beschränken sich auf einen Bereich von ca. 4,5 m² im 2. OG links (Rissbildungen, partielle Ablösung). Das Eichenparkett ist zwar optisch veraltet, aber statisch einwandfrei und weist keine Gefahr für die Verkehrssicherheit auf. Die beschlossene Gesamtmaßnahme (Planwert brutto ca. 81.000 EUR) ist damit bereits mehr als doppelt so teuer wie der sachlich gebotene Mindestaufwand. Noch weiter überschreitet die Sonderumlage von 142.000 EUR jedes vernünftige Maß: Sie enthält einen Puffer von rund 76 % über den beauftragten Planwert, ohne dass ein sachlicher Grund für diese Übersicherung vorläge.</w:t>
      </w:r>
    </w:p>
    <w:p>
      <w:pPr>
        <w:jc w:val="left"/>
      </w:pPr>
      <w:r>
        <w:t>Ordnungsgemäße Verwaltung gebietet, dass Instandhaltungsmaßnahmen wirtschaftlich und verhältnismäßig durchgeführt werden (BGH, Urt. v. 17.10.2014, V ZR 9/14, NJW 2015, 843; BGH, Urt. v. 13.01.2012, V ZR 129/11, NJW 2012, 1224). Die gewählte Maßnahme überschreitet diesen Rahmen deutlich.</w:t>
      </w:r>
    </w:p>
    <w:p>
      <w:pPr>
        <w:jc w:val="left"/>
      </w:pPr>
      <w:r>
        <w:rPr>
          <w:b/>
        </w:rPr>
        <w:t>(b) Fehlende hinreichende Alternativenprüfung</w:t>
      </w:r>
    </w:p>
    <w:p>
      <w:pPr>
        <w:jc w:val="left"/>
      </w:pPr>
      <w:r>
        <w:t>In der Versammlung wurden lediglich drei Restauratorangebote verglichen; eine kostengünstigere Teilsanierung (nur Stuck, kein Parkett) wurde nicht in Betracht gezogen, obwohl Dr. Straßburger-Möhren ausdrücklich eine solche Variante beantragt hatte. Eine ordnungsgemäße Verwaltung hätte die Prüfung einer solchen Variante verlangt (OLG München, Urt. v. 27.01.2011, 32 Wx 102/10).</w:t>
      </w:r>
    </w:p>
    <w:p>
      <w:pPr>
        <w:jc w:val="left"/>
      </w:pPr>
      <w:r>
        <w:rPr>
          <w:b/>
        </w:rPr>
        <w:t>(c) Überhöhte Sonderumlage als eigenständiger Verstoß</w:t>
      </w:r>
    </w:p>
    <w:p>
      <w:pPr>
        <w:jc w:val="left"/>
      </w:pPr>
      <w:r>
        <w:t>Die Sonderumlage von 142.000 EUR übersteigt den beauftragten Planwert (ca. 81.000 EUR brutto) um rund 75 %. Ein pauschaler Risikoaufschlag in dieser Höhe ohne nachvollziehbare Kalkulationsgrundlage ist mit ordnungsgemäßer Verwaltung unvereinbar. Die Eigentümer hätten eine Sonderumlage maximal in Höhe des tatsächlichen Auftragswertes zuzüglich eines angemessenen Reservepuffers (max. 10–15 %) beschließen dürfen.</w:t>
      </w:r>
    </w:p>
    <w:p/>
    <w:p>
      <w:pPr>
        <w:pStyle w:val="Heading3"/>
      </w:pPr>
      <w:r>
        <w:rPr>
          <w:rFonts w:ascii="Times New Roman" w:hAnsi="Times New Roman"/>
        </w:rPr>
        <w:t>IV. Beweisangebote</w:t>
      </w:r>
    </w:p>
    <w:p>
      <w:pPr>
        <w:pStyle w:val="ListBullet"/>
      </w:pPr>
      <w:r>
        <w:t>Gutachten Dr.-Ing. Boris Straßburger-Möhren / Möhren+Partner vom 07.05.2026 (Anlage K-1)</w:t>
      </w:r>
    </w:p>
    <w:p>
      <w:pPr>
        <w:pStyle w:val="ListBullet"/>
      </w:pPr>
      <w:r>
        <w:t>Protokoll der Eigentümerversammlung vom 14.04.2026 (Anlage K-2)</w:t>
      </w:r>
    </w:p>
    <w:p>
      <w:pPr>
        <w:pStyle w:val="ListBullet"/>
      </w:pPr>
      <w:r>
        <w:t>Kostenvoranschläge Restauratoren (Anlage K-3a, K-3b, K-3c)</w:t>
      </w:r>
    </w:p>
    <w:p>
      <w:pPr>
        <w:pStyle w:val="ListBullet"/>
      </w:pPr>
      <w:r>
        <w:t>Sachverständigenbeweis (Antrag: gerichtlicher Sachverständiger zur Schadensermittlung und Kostenplanung)</w:t>
      </w:r>
    </w:p>
    <w:p/>
    <w:p>
      <w:pPr>
        <w:pStyle w:val="Heading3"/>
      </w:pPr>
      <w:r>
        <w:rPr>
          <w:rFonts w:ascii="Times New Roman" w:hAnsi="Times New Roman"/>
        </w:rPr>
        <w:t>V. Streitwert</w:t>
      </w:r>
    </w:p>
    <w:p>
      <w:pPr>
        <w:jc w:val="left"/>
      </w:pPr>
      <w:r>
        <w:t xml:space="preserve">Der Streitwert entspricht dem Anteil der Kläger an der Sonderumlage, hilfsweise dem Interesse an der Aufhebung des Beschlusses: </w:t>
      </w:r>
      <w:r>
        <w:rPr>
          <w:b/>
        </w:rPr>
        <w:t>19.880 EUR</w:t>
      </w:r>
      <w:r>
        <w:t xml:space="preserve"> (MEA-Anteil Straßburger), ggf. höher nach richterlichem Ermessen.</w:t>
      </w:r>
    </w:p>
    <w:p/>
    <w:p>
      <w:pPr>
        <w:jc w:val="left"/>
      </w:pPr>
      <w:r>
        <w:t>Mit freundlichen Grüßen</w:t>
      </w:r>
    </w:p>
    <w:p>
      <w:pPr>
        <w:jc w:val="left"/>
      </w:pPr>
      <w:r>
        <w:rPr>
          <w:b/>
        </w:rPr>
        <w:t>Hauck-Brüggemann Mietrecht</w:t>
      </w:r>
    </w:p>
    <w:p/>
    <w:p>
      <w:pPr>
        <w:jc w:val="left"/>
      </w:pPr>
      <w:r>
        <w:t>Vanessa Hauck-Brüggemann</w:t>
      </w:r>
    </w:p>
    <w:p>
      <w:pPr>
        <w:jc w:val="left"/>
      </w:pPr>
      <w:r>
        <w:t>Rechtsanwältin, Fachanwältin für Miet- und WEG-Recht</w:t>
      </w:r>
    </w:p>
    <w:p/>
    <w:p>
      <w:pPr>
        <w:jc w:val="left"/>
      </w:pPr>
      <w:r>
        <w:rPr>
          <w:b/>
        </w:rPr>
        <w:t>Anlagen:</w:t>
      </w:r>
    </w:p>
    <w:p>
      <w:pPr>
        <w:jc w:val="left"/>
      </w:pPr>
      <w:r>
        <w:t>K-1: Gutachten Möhren+Partner</w:t>
      </w:r>
    </w:p>
    <w:p>
      <w:pPr>
        <w:jc w:val="left"/>
      </w:pPr>
      <w:r>
        <w:t>K-2: Protokoll EV 14.04.2026</w:t>
      </w:r>
    </w:p>
    <w:p>
      <w:pPr>
        <w:jc w:val="left"/>
      </w:pPr>
      <w:r>
        <w:t>K-3a–c: Kostenvoranschläge Restauratoren</w:t>
      </w:r>
    </w:p>
    <w:p>
      <w:pPr>
        <w:jc w:val="left"/>
      </w:pPr>
      <w:r>
        <w:t>Vollmacht der Kläger</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Amtsgericht Köln</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Amtsgericht Köln</w:t>
    </w:r>
  </w:p>
  <w:p>
    <w:pPr>
      <w:jc w:val="left"/>
      <w:pBdr>
        <w:bottom w:val="single" w:sz="6" w:space="2" w:color="3B3F45"/>
      </w:pBdr>
    </w:pPr>
    <w:r>
      <w:rPr>
        <w:rFonts w:ascii="Times New Roman" w:hAnsi="Times New Roman"/>
        <w:color w:val="6B6B66"/>
        <w:sz w:val="16"/>
      </w:rPr>
      <w:t>Gericht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