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Klageschrift – Räumungs- und Zahlungsklage (Entwurf)</w:t>
      </w:r>
    </w:p>
    <w:p>
      <w:pPr>
        <w:jc w:val="left"/>
      </w:pPr>
      <w:r>
        <w:rPr>
          <w:b/>
        </w:rPr>
        <w:t>Amtsgericht Köln</w:t>
      </w:r>
    </w:p>
    <w:p>
      <w:pPr>
        <w:jc w:val="left"/>
      </w:pPr>
      <w:r>
        <w:t>Justizzentrum Köln, Luxemburger Straße 101</w:t>
      </w:r>
    </w:p>
    <w:p>
      <w:pPr>
        <w:jc w:val="left"/>
      </w:pPr>
      <w:r>
        <w:t>50939 Köln</w:t>
      </w:r>
    </w:p>
    <w:p>
      <w:pPr>
        <w:jc w:val="left"/>
      </w:pPr>
      <w:r>
        <w:t xml:space="preserve">Köln, den </w:t>
      </w:r>
      <w:r>
        <w:rPr>
          <w:b/>
        </w:rPr>
        <w:t>20. Mai 2026</w:t>
      </w:r>
      <w:r>
        <w:t xml:space="preserve"> </w:t>
      </w:r>
      <w:r>
        <w:rPr>
          <w:i/>
        </w:rPr>
        <w:t>(Entwurf, noch nicht eingereicht)</w:t>
      </w:r>
    </w:p>
    <w:p/>
    <w:p>
      <w:pPr>
        <w:jc w:val="left"/>
      </w:pPr>
      <w:r>
        <w:rPr>
          <w:b/>
        </w:rPr>
        <w:t>Kläger:</w:t>
      </w:r>
    </w:p>
    <w:p>
      <w:pPr>
        <w:pStyle w:val="ListNumber"/>
      </w:pPr>
      <w:r>
        <w:t>Dr. Cornelia Straßburger, Bachemer Straße 84, 50931 Köln-Lindenthal</w:t>
      </w:r>
    </w:p>
    <w:p>
      <w:pPr>
        <w:pStyle w:val="ListNumber"/>
      </w:pPr>
      <w:r>
        <w:t>Dr. Boris Straßburger-Möhren, Bachemer Straße 84, 50931 Köln-Lindenthal</w:t>
      </w:r>
    </w:p>
    <w:p>
      <w:pPr>
        <w:jc w:val="left"/>
      </w:pPr>
      <w:r>
        <w:rPr>
          <w:i/>
        </w:rPr>
        <w:t>(beide vertreten durch)</w:t>
      </w:r>
    </w:p>
    <w:p>
      <w:pPr>
        <w:jc w:val="left"/>
      </w:pPr>
      <w:r>
        <w:t>Rechtsanwältin Vanessa Hauck-Brüggemann, Fachanwältin für Miet- und WEG-Recht</w:t>
      </w:r>
    </w:p>
    <w:p>
      <w:pPr>
        <w:jc w:val="left"/>
      </w:pPr>
      <w:r>
        <w:t>Kanzlei Hauck-Brüggemann Mietrecht, Berrenrather Straße 114, 50937 Köln-Sülz</w:t>
      </w:r>
    </w:p>
    <w:p>
      <w:pPr>
        <w:jc w:val="left"/>
      </w:pPr>
      <w:r>
        <w:rPr>
          <w:b/>
        </w:rPr>
        <w:t>Beklagte:</w:t>
      </w:r>
    </w:p>
    <w:p>
      <w:pPr>
        <w:pStyle w:val="ListNumber"/>
      </w:pPr>
      <w:r>
        <w:t>Levi Albrecht, Rolandstraße 27a, 50677 Köln</w:t>
      </w:r>
    </w:p>
    <w:p>
      <w:pPr>
        <w:pStyle w:val="ListNumber"/>
      </w:pPr>
      <w:r>
        <w:t>Femke van Drosten, Rolandstraße 27a, 50677 Köln</w:t>
      </w:r>
    </w:p>
    <w:p>
      <w:pPr>
        <w:pStyle w:val="ListNumber"/>
      </w:pPr>
      <w:r>
        <w:t>Mathilda Sonnenfeld, Rolandstraße 27a, 50677 Köln</w:t>
      </w:r>
    </w:p>
    <w:p/>
    <w:p>
      <w:pPr>
        <w:pStyle w:val="Heading2"/>
      </w:pPr>
      <w:r>
        <w:rPr>
          <w:rFonts w:ascii="Times New Roman" w:hAnsi="Times New Roman"/>
        </w:rPr>
        <w:t>Klage</w:t>
      </w:r>
    </w:p>
    <w:p>
      <w:pPr>
        <w:jc w:val="left"/>
      </w:pPr>
      <w:r>
        <w:t>In dem Rechtsstreit</w:t>
      </w:r>
    </w:p>
    <w:p>
      <w:pPr>
        <w:jc w:val="left"/>
      </w:pPr>
      <w:r>
        <w:rPr>
          <w:b/>
        </w:rPr>
        <w:t>Dr. Cornelia Straßburger und Dr. Boris Straßburger-Möhren</w:t>
      </w:r>
      <w:r>
        <w:t xml:space="preserve"> (Kläger)</w:t>
      </w:r>
    </w:p>
    <w:p>
      <w:pPr>
        <w:jc w:val="left"/>
      </w:pPr>
      <w:r>
        <w:t>gegen</w:t>
      </w:r>
    </w:p>
    <w:p>
      <w:pPr>
        <w:jc w:val="left"/>
      </w:pPr>
      <w:r>
        <w:rPr>
          <w:b/>
        </w:rPr>
        <w:t>Levi Albrecht, Femke van Drosten, Mathilda Sonnenfeld</w:t>
      </w:r>
      <w:r>
        <w:t xml:space="preserve"> (Beklagte)</w:t>
      </w:r>
    </w:p>
    <w:p>
      <w:pPr>
        <w:jc w:val="left"/>
      </w:pPr>
      <w:r>
        <w:t xml:space="preserve">– </w:t>
      </w:r>
      <w:r>
        <w:rPr>
          <w:b/>
        </w:rPr>
        <w:t>Aktenzeichen: 213 C 188/26</w:t>
      </w:r>
      <w:r>
        <w:t xml:space="preserve"> –</w:t>
      </w:r>
    </w:p>
    <w:p>
      <w:pPr>
        <w:jc w:val="left"/>
      </w:pPr>
      <w:r>
        <w:t>erheben wir namens und in Vollmacht der Kläger</w:t>
      </w:r>
    </w:p>
    <w:p>
      <w:pPr>
        <w:pStyle w:val="Heading3"/>
      </w:pPr>
      <w:r>
        <w:rPr>
          <w:rFonts w:ascii="Times New Roman" w:hAnsi="Times New Roman"/>
          <w:b/>
        </w:rPr>
        <w:t>Räumungs- und Zahlungsklage</w:t>
      </w:r>
    </w:p>
    <w:p/>
    <w:p>
      <w:pPr>
        <w:pStyle w:val="Heading3"/>
      </w:pPr>
      <w:r>
        <w:rPr>
          <w:rFonts w:ascii="Times New Roman" w:hAnsi="Times New Roman"/>
        </w:rPr>
        <w:t>I. Anträge</w:t>
      </w:r>
    </w:p>
    <w:p>
      <w:pPr>
        <w:jc w:val="left"/>
      </w:pPr>
      <w:r>
        <w:t>Die Kläger beantragen:</w:t>
      </w:r>
    </w:p>
    <w:p>
      <w:pPr>
        <w:jc w:val="left"/>
      </w:pPr>
      <w:r>
        <w:rPr>
          <w:b/>
        </w:rPr>
        <w:t>1.</w:t>
      </w:r>
      <w:r>
        <w:t xml:space="preserve"> Die Beklagten werden als Gesamtschuldner verurteilt, die Wohnung im Dachgeschoss des Hauses </w:t>
      </w:r>
      <w:r>
        <w:rPr>
          <w:b/>
        </w:rPr>
        <w:t>Rolandstraße 27a, 50677 Köln</w:t>
      </w:r>
      <w:r>
        <w:t xml:space="preserve"> (4 Zimmer, ca. 110 m², nebst Kellerabteil Nr. 6) zu räumen und in besenreinem Zustand an die Kläger herauszugeben.</w:t>
      </w:r>
    </w:p>
    <w:p>
      <w:pPr>
        <w:jc w:val="left"/>
      </w:pPr>
      <w:r>
        <w:rPr>
          <w:b/>
        </w:rPr>
        <w:t>2.</w:t>
      </w:r>
      <w:r>
        <w:t xml:space="preserve"> Die Beklagten werden als Gesamtschuldner verurteilt, an die Kläger </w:t>
      </w:r>
      <w:r>
        <w:rPr>
          <w:b/>
        </w:rPr>
        <w:t>1.966,80 EUR</w:t>
      </w:r>
      <w:r>
        <w:t xml:space="preserve"> nebst Zinsen in Höhe von 5 Prozentpunkten über dem Basiszinssatz seit Rechtshängigkeit zu zahlen.</w:t>
      </w:r>
    </w:p>
    <w:p>
      <w:pPr>
        <w:jc w:val="left"/>
      </w:pPr>
      <w:r>
        <w:rPr>
          <w:i/>
        </w:rPr>
        <w:t>(Hilfsweise für den Fall, dass das Gericht eine Schonfrist gem. § 574a BGB gewährt:)</w:t>
      </w:r>
    </w:p>
    <w:p>
      <w:pPr>
        <w:jc w:val="left"/>
      </w:pPr>
      <w:r>
        <w:rPr>
          <w:b/>
        </w:rPr>
        <w:t>3.</w:t>
      </w:r>
      <w:r>
        <w:t xml:space="preserve"> Das Mietverhältnis wird zu den bisherigen Bedingungen auf bestimmte Zeit (Angemessenheit nach Ermessen des Gerichts, längstens bis 31.07.2028) fortgesetzt.</w:t>
      </w:r>
    </w:p>
    <w:p/>
    <w:p>
      <w:pPr>
        <w:pStyle w:val="Heading3"/>
      </w:pPr>
      <w:r>
        <w:rPr>
          <w:rFonts w:ascii="Times New Roman" w:hAnsi="Times New Roman"/>
        </w:rPr>
        <w:t>II. Sachverhalt</w:t>
      </w:r>
    </w:p>
    <w:p>
      <w:pPr>
        <w:pStyle w:val="Heading3"/>
      </w:pPr>
      <w:r>
        <w:rPr>
          <w:rFonts w:ascii="Times New Roman" w:hAnsi="Times New Roman"/>
        </w:rPr>
        <w:t>1. Mietverhältnis</w:t>
      </w:r>
    </w:p>
    <w:p>
      <w:pPr>
        <w:jc w:val="left"/>
      </w:pPr>
      <w:r>
        <w:t>Die Beklagten sind Mieter der Kläger in der Dachgeschosswohnung Rolandstraße 27a, 50677 Köln, seit 01.06.2018. Mietvertrag vom 15.05.2018 (Anlage K-1). Staffelmiete, zuletzt gültige Stufe ab 01.06.2026: Kaltmiete 1.804,00 EUR, Nebenkosten 380,00 EUR, Bruttomiete 2.184,00 EUR.</w:t>
      </w:r>
    </w:p>
    <w:p>
      <w:pPr>
        <w:pStyle w:val="Heading3"/>
      </w:pPr>
      <w:r>
        <w:rPr>
          <w:rFonts w:ascii="Times New Roman" w:hAnsi="Times New Roman"/>
        </w:rPr>
        <w:t>2. Kündigung wegen Eigenbedarfs</w:t>
      </w:r>
    </w:p>
    <w:p>
      <w:pPr>
        <w:jc w:val="left"/>
      </w:pPr>
      <w:r>
        <w:t xml:space="preserve">Die Kläger haben das Mietverhältnis mit Schreiben vom </w:t>
      </w:r>
      <w:r>
        <w:rPr>
          <w:b/>
        </w:rPr>
        <w:t>28. Februar 2026</w:t>
      </w:r>
      <w:r>
        <w:t xml:space="preserve"> (Anlage K-2) zum </w:t>
      </w:r>
      <w:r>
        <w:rPr>
          <w:b/>
        </w:rPr>
        <w:t>31. Oktober 2026</w:t>
      </w:r>
      <w:r>
        <w:t xml:space="preserve"> wegen Eigenbedarfs gem. § 573 Abs. 2 Nr. 2 BGB gekündigt. Eigenbedarfsperson ist die Tochter der Kläger, </w:t>
      </w:r>
      <w:r>
        <w:rPr>
          <w:b/>
        </w:rPr>
        <w:t>Theresa Straßburger-Möhren</w:t>
      </w:r>
      <w:r>
        <w:t xml:space="preserve"> (24 Jahre, Lehramts-Referendarin in Köln ab 01.08.2026). Die Kündigung wurde den Beklagten nachweislich am </w:t>
      </w:r>
      <w:r>
        <w:rPr>
          <w:b/>
        </w:rPr>
        <w:t>03. März 2026</w:t>
      </w:r>
      <w:r>
        <w:t xml:space="preserve"> zugestellt (Rückschein, Anlage K-3).</w:t>
      </w:r>
    </w:p>
    <w:p>
      <w:pPr>
        <w:jc w:val="left"/>
      </w:pPr>
      <w:r>
        <w:rPr>
          <w:b/>
        </w:rPr>
        <w:t>Kündigungsfrist:</w:t>
      </w:r>
      <w:r>
        <w:t xml:space="preserve"> Mietdauer 01.06.2018 bis 03.03.2026 = 7 Jahre, 9 Monate → mehr als 5, weniger als 8 Jahre zum Zugangszeitpunkt → Kündigungsfrist </w:t>
      </w:r>
      <w:r>
        <w:rPr>
          <w:b/>
        </w:rPr>
        <w:t>6 Monate</w:t>
      </w:r>
      <w:r>
        <w:t xml:space="preserve"> gemäß § 573c Abs. 1 Satz 2 BGB. Zum 31.10.2026 ist die 6-Monats-Frist ab 03.03.2026 (letzter Tag im Zugangsmonat = 31.03.2026; + 6 Monate = 30.09.2026) noch nicht vollständig gewahrt. Richtigerweise endet das Mietverhältnis nach § 573c Abs. 1 Satz 1 BGB (Ende des übernächsten Monats nach Zugang) zum </w:t>
      </w:r>
      <w:r>
        <w:rPr>
          <w:b/>
        </w:rPr>
        <w:t>31. Mai 2026</w:t>
      </w:r>
      <w:r>
        <w:t xml:space="preserve"> (Zugang 03.03., Ende übernächster Monat = 31.05.2026 bei 3-Monats-Grundfrist) resp. bei 6 Monaten Frist zum </w:t>
      </w:r>
      <w:r>
        <w:rPr>
          <w:b/>
        </w:rPr>
        <w:t>30. September 2026</w:t>
      </w:r>
      <w:r>
        <w:t>; die Kündigung zum 31.10.2026 wahrt in jedem Fall die Frist.</w:t>
      </w:r>
    </w:p>
    <w:p>
      <w:pPr>
        <w:jc w:val="left"/>
      </w:pPr>
      <w:r>
        <w:rPr>
          <w:i/>
        </w:rPr>
        <w:t>(Anmerkung: Im Endurteil ist die genaue Fristenberechnung darzulegen; die Kündigung zum 31.10.2026 ist jedoch in jedem Fall rechtzeitig.)</w:t>
      </w:r>
    </w:p>
    <w:p>
      <w:pPr>
        <w:pStyle w:val="Heading3"/>
      </w:pPr>
      <w:r>
        <w:rPr>
          <w:rFonts w:ascii="Times New Roman" w:hAnsi="Times New Roman"/>
        </w:rPr>
        <w:t>3. Widerspruch der Beklagten</w:t>
      </w:r>
    </w:p>
    <w:p>
      <w:pPr>
        <w:jc w:val="left"/>
      </w:pPr>
      <w:r>
        <w:t>Die Beklagten haben mit Schreiben vom 18.03.2026 (Anlage K-4) Widerspruch nach § 574 BGB eingelegt. Sie berufen sich auf:</w:t>
      </w:r>
    </w:p>
    <w:p>
      <w:pPr>
        <w:pStyle w:val="ListBullet"/>
      </w:pPr>
      <w:r>
        <w:t>Ortsgebundenheit Herrn Albrechts im Vikariat (bis 31.07.2028)</w:t>
      </w:r>
    </w:p>
    <w:p>
      <w:pPr>
        <w:pStyle w:val="ListBullet"/>
      </w:pPr>
      <w:r>
        <w:t>Prüfungsphase der Beklagten zu 2 und 3</w:t>
      </w:r>
    </w:p>
    <w:p>
      <w:pPr>
        <w:pStyle w:val="ListBullet"/>
      </w:pPr>
      <w:r>
        <w:t>Allgemeiner Wohnungsmangel Köln</w:t>
      </w:r>
    </w:p>
    <w:p>
      <w:pPr>
        <w:pStyle w:val="Heading3"/>
      </w:pPr>
      <w:r>
        <w:rPr>
          <w:rFonts w:ascii="Times New Roman" w:hAnsi="Times New Roman"/>
        </w:rPr>
        <w:t>4. Bewertung des Widerspruchs</w:t>
      </w:r>
    </w:p>
    <w:p>
      <w:pPr>
        <w:jc w:val="left"/>
      </w:pPr>
      <w:r>
        <w:rPr>
          <w:b/>
        </w:rPr>
        <w:t>(a) Herr Albrecht:</w:t>
      </w:r>
      <w:r>
        <w:t xml:space="preserve"> Die Ortsgebundenheit ist real, aber das Vikariat endet spätestens 31.07.2028. Das Interesse der Eigenbedarfsperson (Referendariat, erste eigene Wohnung, Familienerbstück) überwiegt, da eine Übergangszeit von Oktober 2026 bis Juli 2027 ausreichend sein sollte, einen Nachfolger-Wohnraum zu finden.</w:t>
      </w:r>
    </w:p>
    <w:p>
      <w:pPr>
        <w:jc w:val="left"/>
      </w:pPr>
      <w:r>
        <w:rPr>
          <w:b/>
        </w:rPr>
        <w:t>(b) Frau van Drosten und Frau Sonnenfeld:</w:t>
      </w:r>
      <w:r>
        <w:t xml:space="preserve"> Der Abschluss des Zweiten Staatsexamens ist kein dauerhafter Härtgrund; die Prüfungsphase endet voraussichtlich Ende 2026 / Anfang 2027. Es ist zumutbar, nach der Prüfungsphase umzuziehen.</w:t>
      </w:r>
    </w:p>
    <w:p>
      <w:pPr>
        <w:jc w:val="left"/>
      </w:pPr>
      <w:r>
        <w:rPr>
          <w:b/>
        </w:rPr>
        <w:t>(c) Wohnungsmangel:</w:t>
      </w:r>
      <w:r>
        <w:t xml:space="preserve"> Ein genereller Wohnungsmangel begründet allein keinen Anspruch auf Fortsetzung (§ 574 Abs. 1 BGB verlangt individuelle Härtegründe), kann aber als Abwägungsfaktor berücksichtigt werden.</w:t>
      </w:r>
    </w:p>
    <w:p>
      <w:pPr>
        <w:pStyle w:val="Heading3"/>
      </w:pPr>
      <w:r>
        <w:rPr>
          <w:rFonts w:ascii="Times New Roman" w:hAnsi="Times New Roman"/>
        </w:rPr>
        <w:t>5. Mietrückstand</w:t>
      </w:r>
    </w:p>
    <w:p>
      <w:pPr>
        <w:jc w:val="left"/>
      </w:pPr>
      <w:r>
        <w:t>Die Beklagten haben die Miete ab 01.02.2026 um 30 % gemindert (monatlich 655,20 EUR). Berechtigte Minderungsquote: maximal 15 % (327,60 EUR/Monat). Unberechtigt einbehalten wurden bisher (Stand 20.05.2026):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Monat</w:t>
            </w:r>
          </w:p>
        </w:tc>
        <w:tc>
          <w:tcPr>
            <w:tcW w:type="dxa" w:w="4536"/>
          </w:tcPr>
          <w:p>
            <w:r>
              <w:rPr>
                <w:rFonts w:ascii="Times New Roman" w:hAnsi="Times New Roman"/>
                <w:b/>
                <w:sz w:val="20"/>
              </w:rPr>
              <w:t>Unberechtigte Kürzung</w:t>
            </w:r>
          </w:p>
        </w:tc>
      </w:tr>
      <w:tr>
        <w:tc>
          <w:tcPr>
            <w:tcW w:type="dxa" w:w="4536"/>
          </w:tcPr>
          <w:p>
            <w:r>
              <w:rPr>
                <w:rFonts w:ascii="Times New Roman" w:hAnsi="Times New Roman"/>
                <w:sz w:val="20"/>
              </w:rPr>
              <w:t>Februar 2026</w:t>
            </w:r>
          </w:p>
        </w:tc>
        <w:tc>
          <w:tcPr>
            <w:tcW w:type="dxa" w:w="4536"/>
          </w:tcPr>
          <w:p>
            <w:r>
              <w:rPr>
                <w:rFonts w:ascii="Times New Roman" w:hAnsi="Times New Roman"/>
                <w:sz w:val="20"/>
              </w:rPr>
              <w:t>327,60 EUR</w:t>
            </w:r>
          </w:p>
        </w:tc>
      </w:tr>
      <w:tr>
        <w:tc>
          <w:tcPr>
            <w:tcW w:type="dxa" w:w="4536"/>
          </w:tcPr>
          <w:p>
            <w:r>
              <w:rPr>
                <w:rFonts w:ascii="Times New Roman" w:hAnsi="Times New Roman"/>
                <w:sz w:val="20"/>
              </w:rPr>
              <w:t>März 2026</w:t>
            </w:r>
          </w:p>
        </w:tc>
        <w:tc>
          <w:tcPr>
            <w:tcW w:type="dxa" w:w="4536"/>
          </w:tcPr>
          <w:p>
            <w:r>
              <w:rPr>
                <w:rFonts w:ascii="Times New Roman" w:hAnsi="Times New Roman"/>
                <w:sz w:val="20"/>
              </w:rPr>
              <w:t>327,60 EUR</w:t>
            </w:r>
          </w:p>
        </w:tc>
      </w:tr>
      <w:tr>
        <w:tc>
          <w:tcPr>
            <w:tcW w:type="dxa" w:w="4536"/>
          </w:tcPr>
          <w:p>
            <w:r>
              <w:rPr>
                <w:rFonts w:ascii="Times New Roman" w:hAnsi="Times New Roman"/>
                <w:sz w:val="20"/>
              </w:rPr>
              <w:t>April 2026</w:t>
            </w:r>
          </w:p>
        </w:tc>
        <w:tc>
          <w:tcPr>
            <w:tcW w:type="dxa" w:w="4536"/>
          </w:tcPr>
          <w:p>
            <w:r>
              <w:rPr>
                <w:rFonts w:ascii="Times New Roman" w:hAnsi="Times New Roman"/>
                <w:sz w:val="20"/>
              </w:rPr>
              <w:t>327,60 EUR</w:t>
            </w:r>
          </w:p>
        </w:tc>
      </w:tr>
      <w:tr>
        <w:tc>
          <w:tcPr>
            <w:tcW w:type="dxa" w:w="4536"/>
          </w:tcPr>
          <w:p>
            <w:r>
              <w:rPr>
                <w:rFonts w:ascii="Times New Roman" w:hAnsi="Times New Roman"/>
                <w:sz w:val="20"/>
              </w:rPr>
              <w:t>Mai 2026</w:t>
            </w:r>
          </w:p>
        </w:tc>
        <w:tc>
          <w:tcPr>
            <w:tcW w:type="dxa" w:w="4536"/>
          </w:tcPr>
          <w:p>
            <w:r>
              <w:rPr>
                <w:rFonts w:ascii="Times New Roman" w:hAnsi="Times New Roman"/>
                <w:sz w:val="20"/>
              </w:rPr>
              <w:t>327,60 EUR</w:t>
            </w:r>
          </w:p>
        </w:tc>
      </w:tr>
      <w:tr>
        <w:tc>
          <w:tcPr>
            <w:tcW w:type="dxa" w:w="4536"/>
          </w:tcPr>
          <w:p>
            <w:r>
              <w:rPr>
                <w:rFonts w:ascii="Times New Roman" w:hAnsi="Times New Roman"/>
                <w:sz w:val="20"/>
              </w:rPr>
              <w:t>Juni 2026</w:t>
            </w:r>
          </w:p>
        </w:tc>
        <w:tc>
          <w:tcPr>
            <w:tcW w:type="dxa" w:w="4536"/>
          </w:tcPr>
          <w:p>
            <w:r>
              <w:rPr>
                <w:rFonts w:ascii="Times New Roman" w:hAnsi="Times New Roman"/>
                <w:sz w:val="20"/>
              </w:rPr>
              <w:t>327,60 EUR</w:t>
            </w:r>
          </w:p>
        </w:tc>
      </w:tr>
      <w:tr>
        <w:tc>
          <w:tcPr>
            <w:tcW w:type="dxa" w:w="4536"/>
          </w:tcPr>
          <w:p>
            <w:r>
              <w:rPr>
                <w:rFonts w:ascii="Times New Roman" w:hAnsi="Times New Roman"/>
                <w:b/>
                <w:sz w:val="20"/>
              </w:rPr>
              <w:t>Zwischensumme</w:t>
            </w:r>
          </w:p>
        </w:tc>
        <w:tc>
          <w:tcPr>
            <w:tcW w:type="dxa" w:w="4536"/>
          </w:tcPr>
          <w:p>
            <w:r>
              <w:rPr>
                <w:rFonts w:ascii="Times New Roman" w:hAnsi="Times New Roman"/>
                <w:b/>
                <w:sz w:val="20"/>
              </w:rPr>
              <w:t>1.638,00 EUR</w:t>
            </w:r>
          </w:p>
        </w:tc>
      </w:tr>
    </w:tbl>
    <w:p>
      <w:pPr>
        <w:jc w:val="left"/>
      </w:pPr>
      <w:r>
        <w:t xml:space="preserve">Zusätzlich offene Januarmiete (Streit über NK-Abrechnung 2024): </w:t>
      </w:r>
      <w:r>
        <w:rPr>
          <w:b/>
        </w:rPr>
        <w:t>328,80 EUR</w:t>
      </w:r>
      <w:r>
        <w:t>.</w:t>
      </w:r>
    </w:p>
    <w:p>
      <w:pPr>
        <w:jc w:val="left"/>
      </w:pPr>
      <w:r>
        <w:rPr>
          <w:b/>
        </w:rPr>
        <w:t>Gesamtforderung Zahlungsantrag: 1.966,80 EUR</w:t>
      </w:r>
      <w:r>
        <w:t>.</w:t>
      </w:r>
    </w:p>
    <w:p/>
    <w:p>
      <w:pPr>
        <w:pStyle w:val="Heading3"/>
      </w:pPr>
      <w:r>
        <w:rPr>
          <w:rFonts w:ascii="Times New Roman" w:hAnsi="Times New Roman"/>
        </w:rPr>
        <w:t>III. Streitwert</w:t>
      </w:r>
    </w:p>
    <w:p>
      <w:pPr>
        <w:jc w:val="left"/>
      </w:pPr>
      <w:r>
        <w:t>Räumungsklage: Jahresmiete netto = 12 × 1.804,00 = 21.648 EUR (§ 41 GKG i. V. m. § 6 ZPO).</w:t>
      </w:r>
    </w:p>
    <w:p>
      <w:pPr>
        <w:jc w:val="left"/>
      </w:pPr>
      <w:r>
        <w:t>Zahlungsklage: 1.966,80 EUR.</w:t>
      </w:r>
    </w:p>
    <w:p>
      <w:pPr>
        <w:jc w:val="left"/>
      </w:pPr>
      <w:r>
        <w:rPr>
          <w:b/>
        </w:rPr>
        <w:t>Gesamtstreitwert: 23.614,80 EUR.</w:t>
      </w:r>
    </w:p>
    <w:p/>
    <w:p>
      <w:pPr>
        <w:pStyle w:val="Heading3"/>
      </w:pPr>
      <w:r>
        <w:rPr>
          <w:rFonts w:ascii="Times New Roman" w:hAnsi="Times New Roman"/>
        </w:rPr>
        <w:t>IV. Beweisangebote</w:t>
      </w:r>
    </w:p>
    <w:p>
      <w:pPr>
        <w:pStyle w:val="ListBullet"/>
      </w:pPr>
      <w:r>
        <w:t>Mietvertrag 15.05.2018 (Anlage K-1)</w:t>
      </w:r>
    </w:p>
    <w:p>
      <w:pPr>
        <w:pStyle w:val="ListBullet"/>
      </w:pPr>
      <w:r>
        <w:t>Kündigung 28.02.2026 (Anlage K-2)</w:t>
      </w:r>
    </w:p>
    <w:p>
      <w:pPr>
        <w:pStyle w:val="ListBullet"/>
      </w:pPr>
      <w:r>
        <w:t>Zustellnachweis (Anlage K-3)</w:t>
      </w:r>
    </w:p>
    <w:p>
      <w:pPr>
        <w:pStyle w:val="ListBullet"/>
      </w:pPr>
      <w:r>
        <w:t>Widerspruch Beklagte (Anlage K-4)</w:t>
      </w:r>
    </w:p>
    <w:p>
      <w:pPr>
        <w:pStyle w:val="ListBullet"/>
      </w:pPr>
      <w:r>
        <w:t>Einstellungsbescheid Referendariat Theresa Straßburger-Möhren (Anlage K-5)</w:t>
      </w:r>
    </w:p>
    <w:p>
      <w:pPr>
        <w:pStyle w:val="ListBullet"/>
      </w:pPr>
      <w:r>
        <w:t>Kontoauszüge mit Mietzahlungsnachweisen (Anlage K-6)</w:t>
      </w:r>
    </w:p>
    <w:p>
      <w:pPr>
        <w:pStyle w:val="ListBullet"/>
      </w:pPr>
      <w:r>
        <w:t>Gutachten Wallesch zur Minderungsquote (Anlage K-7)</w:t>
      </w:r>
    </w:p>
    <w:p>
      <w:pPr>
        <w:pStyle w:val="ListBullet"/>
      </w:pPr>
      <w:r>
        <w:t>Parteivernehmung: Dr. Cornelia Straßburger, Dr. Boris Straßburger-Möhren</w:t>
      </w:r>
    </w:p>
    <w:p>
      <w:pPr>
        <w:pStyle w:val="ListBullet"/>
      </w:pPr>
      <w:r>
        <w:t>Zeugenaussage: Theresa Straßburger-Möhren</w:t>
      </w:r>
    </w:p>
    <w:p/>
    <w:p>
      <w:pPr>
        <w:jc w:val="left"/>
      </w:pPr>
      <w:r>
        <w:t>Mit freundlichen Grüßen</w:t>
      </w:r>
    </w:p>
    <w:p>
      <w:pPr>
        <w:jc w:val="left"/>
      </w:pPr>
      <w:r>
        <w:rPr>
          <w:b/>
        </w:rPr>
        <w:t>Hauck-Brüggemann Mietrecht</w:t>
      </w:r>
    </w:p>
    <w:p/>
    <w:p>
      <w:pPr>
        <w:jc w:val="left"/>
      </w:pPr>
      <w:r>
        <w:t>Vanessa Hauck-Brüggemann</w:t>
      </w:r>
    </w:p>
    <w:p>
      <w:pPr>
        <w:jc w:val="left"/>
      </w:pPr>
      <w:r>
        <w:t>Rechtsanwältin, Fachanwältin für Miet- und WEG-Recht</w:t>
      </w:r>
    </w:p>
    <w:p/>
    <w:p>
      <w:pPr>
        <w:jc w:val="left"/>
      </w:pPr>
      <w:r>
        <w:rPr>
          <w:b/>
        </w:rPr>
        <w:t>Anlagen K-1 bis K-7</w:t>
      </w:r>
      <w:r>
        <w:t xml:space="preserve"> (wie bezeichnet)</w:t>
      </w:r>
    </w:p>
    <w:p>
      <w:pPr>
        <w:jc w:val="left"/>
      </w:pPr>
      <w:r>
        <w:rPr>
          <w:i/>
        </w:rPr>
        <w:t>Entwurf – intern – noch nicht eingereicht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Köln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