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Amtsgericht Köln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Luxemburger Straße 101 · 50939 Köln</w:t>
      </w:r>
    </w:p>
    <w:p/>
    <w:p>
      <w:pPr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Köln, den 12. Mai 2026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Kläger: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Dr. Cornelia Straßburger, Bachemer Straße 84, 50931 Köln-Lindenthal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Dr. Boris Straßburger-Möhren, Bachemer Straße 84, 50931 Köln-Lindenthal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vertr. durch RA'in Vanessa Hauck-Brüggemann, Berrenrather Str. 114, 50937 Köln-Sülz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Beklagte: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Übrige Wohnungseigentümer der WEG Rolandstraße 27a, 50677 Köln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vertr. durch Verwalterin: Immobilienverwaltung Rheineck GmbH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Aktenzeichen: 205 C 67/26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  <w:u w:val="single"/>
        </w:rPr>
        <w:t xml:space="preserve">ANFECHTUNGSKLAGE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gemäß § 44 Abs. 1 Satz 1 WEG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Antrag</w:t>
      </w:r>
    </w:p>
    <w:p/>
    <w:p>
      <w:pPr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Den Beschluss der Wohnungseigentümerversammlung WEG Rolandstraße 27a, Köln vom 14. April 2026 (Beschluss-Nr. 2026/5) über die Sanierung des Treppenhauses nebst Erhebung einer Sonderumlage von 142.000 EUR für ungültig zu erklären.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II. Sachverhalt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Am 14. April 2026 beschloss die Wohnungseigentümerversammlung der WEG Rolandstraße 27a mit 5:1-Stimmen (nach MEA: 860:140) die Sanierung des gemeinschaftlichen Treppenhauses. Die beschlossene Sonderumlage beträgt 142.000 EUR, aufgeteilt nach Miteigentumsanteilen in zwei Raten zum 01.06.2026 und 01.09.2026. Die Kläger sind Eigentümer der Einheit Nr. 6 (DG) mit einem MEA von 140/1000. Ihr Anteil: 19.880 EUR.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III. Rechtliche Begründung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Zulässigkeit: Die Klage ist gemäß § 44 Abs. 1 WEG statthaft und fristgerecht eingelegt (Klage 12.05.2026, Monatsfrist ab 14.04.2026 = bis 14.05.2026). Aktenzeichen: 205 C 67/26.</w:t>
      </w:r>
    </w:p>
    <w:p/>
    <w:p>
      <w:pPr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Begründetheit – Unverhältnismäßige Sonderumlage: Der tatsächliche Sanierungsbedarf beträgt nach Gutachten Möhren+Partner 28.000–35.000 EUR netto. Das günstigste Vollpaket-Angebot (Kern &amp; Partner) liegt bei 54.103 EUR brutto. Die Sonderumlage von 142.000 EUR übersteigt den Auftragswert um rund 162 %. Dies widerspricht ordnungsgemäßer Verwaltung (§ 18 Abs. 2, § 19 WEG). Vgl. BGH, Urt. v. 17.10.2014, V ZR 9/14, NJW 2015, 843; BGH, Urt. v. 13.01.2012, V ZR 129/11, NJW 2012, 1224.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IV. Streitwert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MEA-Anteil Straßburger an Sonderumlage: 19.880 EUR.</w:t>
      </w:r>
    </w:p>
    <w:p/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/>
    <w:p>
      <w:pPr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Hauck-Brüggemann Mietrecht</w:t>
      </w:r>
    </w:p>
    <w:p/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___________________________</w:t>
      </w:r>
    </w:p>
    <w:p>
      <w:pPr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Vanessa Hauck-Brüggemann, Fachanwältin für Miet- und WEG-Recht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Anfechtungsklage – WEG Rolandstraße 27a, Beschluss Treppenhaussanierung</dc:title>
  <dc:creator>Kanzlei Hauck-Brüggemann Mietrecht</dc:creator>
  <cp:lastModifiedBy>Un-named</cp:lastModifiedBy>
  <cp:revision>1</cp:revision>
  <dcterms:created xsi:type="dcterms:W3CDTF">2026-05-30T15:13:50.481Z</dcterms:created>
  <dcterms:modified xsi:type="dcterms:W3CDTF">2026-05-30T15:13:50.481Z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