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Vergleichsdokument 2: Mandantenbrief 2 (Mietkündigung) -- schwer → einfach → leicht</w:t>
      </w:r>
    </w:p>
    <w:p>
      <w:pPr>
        <w:pStyle w:val="Heading2"/>
      </w:pPr>
      <w:r>
        <w:rPr>
          <w:rFonts w:ascii="Times New Roman" w:hAnsi="Times New Roman"/>
        </w:rPr>
        <w:t>Vergleichsgegenstand: Brief an Frau Neumann zur Kündigung durch die Vermieterin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Aktenzeichen Kanzlei</w:t>
            </w:r>
          </w:p>
        </w:tc>
        <w:tc>
          <w:tcPr>
            <w:tcW w:type="dxa" w:w="4536"/>
          </w:tcPr>
          <w:p>
            <w:r>
              <w:rPr>
                <w:rFonts w:ascii="Times New Roman" w:hAnsi="Times New Roman"/>
                <w:sz w:val="20"/>
              </w:rPr>
              <w:t>KMP/MietR/2026/0512</w:t>
            </w:r>
          </w:p>
        </w:tc>
      </w:tr>
      <w:tr>
        <w:tc>
          <w:tcPr>
            <w:tcW w:type="dxa" w:w="4536"/>
          </w:tcPr>
          <w:p>
            <w:r>
              <w:rPr>
                <w:rFonts w:ascii="Times New Roman" w:hAnsi="Times New Roman"/>
                <w:sz w:val="20"/>
              </w:rPr>
              <w:t>Datum</w:t>
            </w:r>
          </w:p>
        </w:tc>
        <w:tc>
          <w:tcPr>
            <w:tcW w:type="dxa" w:w="4536"/>
          </w:tcPr>
          <w:p>
            <w:r>
              <w:rPr>
                <w:rFonts w:ascii="Times New Roman" w:hAnsi="Times New Roman"/>
                <w:sz w:val="20"/>
              </w:rPr>
              <w:t>03.06.2026</w:t>
            </w:r>
          </w:p>
        </w:tc>
      </w:tr>
      <w:tr>
        <w:tc>
          <w:tcPr>
            <w:tcW w:type="dxa" w:w="4536"/>
          </w:tcPr>
          <w:p>
            <w:r>
              <w:rPr>
                <w:rFonts w:ascii="Times New Roman" w:hAnsi="Times New Roman"/>
                <w:sz w:val="20"/>
              </w:rPr>
              <w:t>Streitgegenstand</w:t>
            </w:r>
          </w:p>
        </w:tc>
        <w:tc>
          <w:tcPr>
            <w:tcW w:type="dxa" w:w="4536"/>
          </w:tcPr>
          <w:p>
            <w:r>
              <w:rPr>
                <w:rFonts w:ascii="Times New Roman" w:hAnsi="Times New Roman"/>
                <w:sz w:val="20"/>
              </w:rPr>
              <w:t>Wohnraumkündigung wegen Mietrückstand (1.842,17 EUR)</w:t>
            </w:r>
          </w:p>
        </w:tc>
      </w:tr>
      <w:tr>
        <w:tc>
          <w:tcPr>
            <w:tcW w:type="dxa" w:w="4536"/>
          </w:tcPr>
          <w:p>
            <w:r>
              <w:rPr>
                <w:rFonts w:ascii="Times New Roman" w:hAnsi="Times New Roman"/>
                <w:sz w:val="20"/>
              </w:rPr>
              <w:t>Komplexität</w:t>
            </w:r>
          </w:p>
        </w:tc>
        <w:tc>
          <w:tcPr>
            <w:tcW w:type="dxa" w:w="4536"/>
          </w:tcPr>
          <w:p>
            <w:r>
              <w:rPr>
                <w:rFonts w:ascii="Times New Roman" w:hAnsi="Times New Roman"/>
                <w:sz w:val="20"/>
              </w:rPr>
              <w:t>hoch (Schnittstelle Mietrecht / Sozialrecht; Sozialklausel; Schonfristzahlung)</w:t>
            </w:r>
          </w:p>
        </w:tc>
      </w:tr>
      <w:tr>
        <w:tc>
          <w:tcPr>
            <w:tcW w:type="dxa" w:w="4536"/>
          </w:tcPr>
          <w:p>
            <w:r>
              <w:rPr>
                <w:rFonts w:ascii="Times New Roman" w:hAnsi="Times New Roman"/>
                <w:sz w:val="20"/>
              </w:rPr>
              <w:t>Wortzahl Original</w:t>
            </w:r>
          </w:p>
        </w:tc>
        <w:tc>
          <w:tcPr>
            <w:tcW w:type="dxa" w:w="4536"/>
          </w:tcPr>
          <w:p>
            <w:r>
              <w:rPr>
                <w:rFonts w:ascii="Times New Roman" w:hAnsi="Times New Roman"/>
                <w:sz w:val="20"/>
              </w:rPr>
              <w:t>642 Wörter</w:t>
            </w:r>
          </w:p>
        </w:tc>
      </w:tr>
      <w:tr>
        <w:tc>
          <w:tcPr>
            <w:tcW w:type="dxa" w:w="4536"/>
          </w:tcPr>
          <w:p>
            <w:r>
              <w:rPr>
                <w:rFonts w:ascii="Times New Roman" w:hAnsi="Times New Roman"/>
                <w:sz w:val="20"/>
              </w:rPr>
              <w:t>Wortzahl Einfache Sprache</w:t>
            </w:r>
          </w:p>
        </w:tc>
        <w:tc>
          <w:tcPr>
            <w:tcW w:type="dxa" w:w="4536"/>
          </w:tcPr>
          <w:p>
            <w:r>
              <w:rPr>
                <w:rFonts w:ascii="Times New Roman" w:hAnsi="Times New Roman"/>
                <w:sz w:val="20"/>
              </w:rPr>
              <w:t>583 Wörter</w:t>
            </w:r>
          </w:p>
        </w:tc>
      </w:tr>
      <w:tr>
        <w:tc>
          <w:tcPr>
            <w:tcW w:type="dxa" w:w="4536"/>
          </w:tcPr>
          <w:p>
            <w:r>
              <w:rPr>
                <w:rFonts w:ascii="Times New Roman" w:hAnsi="Times New Roman"/>
                <w:sz w:val="20"/>
              </w:rPr>
              <w:t>Wortzahl Leichte Sprache</w:t>
            </w:r>
          </w:p>
        </w:tc>
        <w:tc>
          <w:tcPr>
            <w:tcW w:type="dxa" w:w="4536"/>
          </w:tcPr>
          <w:p>
            <w:r>
              <w:rPr>
                <w:rFonts w:ascii="Times New Roman" w:hAnsi="Times New Roman"/>
                <w:sz w:val="20"/>
              </w:rPr>
              <w:t>308 Wörter</w:t>
            </w:r>
          </w:p>
        </w:tc>
      </w:tr>
    </w:tbl>
    <w:p>
      <w:pPr>
        <w:pStyle w:val="Heading2"/>
      </w:pPr>
      <w:r>
        <w:rPr>
          <w:rFonts w:ascii="Times New Roman" w:hAnsi="Times New Roman"/>
        </w:rPr>
        <w:t>Wesentliche Unterschiede zu Brief 1</w:t>
      </w:r>
    </w:p>
    <w:p>
      <w:pPr>
        <w:jc w:val="left"/>
      </w:pPr>
      <w:r>
        <w:t>Brief 2 ist deutlich anspruchsvoller, weil:</w:t>
      </w:r>
    </w:p>
    <w:p>
      <w:pPr>
        <w:pStyle w:val="ListNumber"/>
      </w:pPr>
      <w:r>
        <w:rPr>
          <w:b/>
        </w:rPr>
        <w:t>Mehrere Rechtsgrundlagen</w:t>
      </w:r>
      <w:r>
        <w:t xml:space="preserve"> parallel relevant sind (§§ 568, 569, 573, 574 BGB; § 22 SGB II).</w:t>
      </w:r>
    </w:p>
    <w:p>
      <w:pPr>
        <w:pStyle w:val="ListNumber"/>
      </w:pPr>
      <w:r>
        <w:rPr>
          <w:b/>
        </w:rPr>
        <w:t>Mehrere Adressaten</w:t>
      </w:r>
      <w:r>
        <w:t xml:space="preserve"> angesprochen werden (Vermieterin, Jobcenter, Amtsgericht).</w:t>
      </w:r>
    </w:p>
    <w:p>
      <w:pPr>
        <w:pStyle w:val="ListNumber"/>
      </w:pPr>
      <w:r>
        <w:rPr>
          <w:b/>
        </w:rPr>
        <w:t>Strategische Alternativen</w:t>
      </w:r>
      <w:r>
        <w:t xml:space="preserve"> bestehen: Heilungswirkung vs. Härtefall vs. Formfehler.</w:t>
      </w:r>
    </w:p>
    <w:p>
      <w:pPr>
        <w:pStyle w:val="ListNumber"/>
      </w:pPr>
      <w:r>
        <w:rPr>
          <w:b/>
        </w:rPr>
        <w:t>Frist</w:t>
      </w:r>
      <w:r>
        <w:t xml:space="preserve"> weiter in der Zukunft liegt, aber bestimmte Zwischenschritte zeitkritisch sind.</w:t>
      </w:r>
    </w:p>
    <w:p>
      <w:pPr>
        <w:jc w:val="left"/>
      </w:pPr>
      <w:r>
        <w:t>Diese Komplexität ist in der Übersetzung schwierig abzubilden:</w:t>
      </w:r>
    </w:p>
    <w:p>
      <w:pPr>
        <w:pStyle w:val="ListBullet"/>
      </w:pPr>
      <w:r>
        <w:t xml:space="preserve">In </w:t>
      </w:r>
      <w:r>
        <w:rPr>
          <w:b/>
        </w:rPr>
        <w:t>Einfacher Sprache</w:t>
      </w:r>
      <w:r>
        <w:t xml:space="preserve"> lassen sich alle drei Wege ("Möglichkeit 1, 2, 3") gut darstellen.</w:t>
      </w:r>
    </w:p>
    <w:p>
      <w:pPr>
        <w:pStyle w:val="ListBullet"/>
      </w:pPr>
      <w:r>
        <w:t xml:space="preserve">In </w:t>
      </w:r>
      <w:r>
        <w:rPr>
          <w:b/>
        </w:rPr>
        <w:t>Leichter Sprache</w:t>
      </w:r>
      <w:r>
        <w:t xml:space="preserve"> mussten die drei Wege zu kurzen, parallelen Absätzen ("Weg 1, 2, 3") gebracht werden, was die juristische Differenzierung deutlich verflacht.</w:t>
      </w:r>
    </w:p>
    <w:p>
      <w:pPr>
        <w:pStyle w:val="Heading2"/>
      </w:pPr>
      <w:r>
        <w:rPr>
          <w:rFonts w:ascii="Times New Roman" w:hAnsi="Times New Roman"/>
        </w:rPr>
        <w:t>Satz-für-Satz-Vergleich (Auszug)</w:t>
      </w:r>
    </w:p>
    <w:p>
      <w:pPr>
        <w:pStyle w:val="Heading3"/>
      </w:pPr>
      <w:r>
        <w:rPr>
          <w:rFonts w:ascii="Times New Roman" w:hAnsi="Times New Roman"/>
        </w:rPr>
        <w:t>Beispiel 1 -- Hauptsatz zur Heilung</w:t>
      </w:r>
    </w:p>
    <w:p>
      <w:pPr>
        <w:jc w:val="left"/>
      </w:pPr>
      <w:r>
        <w:rPr>
          <w:b/>
        </w:rPr>
        <w:t>Schwer (Original):</w:t>
      </w:r>
    </w:p>
    <w:p>
      <w:pPr>
        <w:ind w:left="567"/>
      </w:pPr>
      <w:r>
        <w:rPr>
          <w:i/>
        </w:rPr>
        <w:t>Sollten die rückständigen Beträge -- ggf. unter Einbeziehung etwaiger Übernahmen durch das Jobcenter Berlin-Lichtenberg im Rahmen der Mietkostenübernahme -- innerhalb der gesetzlichen Schonfrist beglichen werden, könnte die fristlose Kündigung geheilt werden; die in der Vermieterinnenerklärung zugleich erklärte ordentliche Kündigung kann hiervon allerdings unberührt bleiben (BGH, st. Rspr.).</w:t>
      </w:r>
    </w:p>
    <w:p>
      <w:pPr>
        <w:ind w:left="567"/>
      </w:pPr>
      <w:r>
        <w:rPr>
          <w:i/>
        </w:rPr>
        <w:t>Wortzahl: 56. Konditionalsatz mit Schachtelung, indirekter Rede, Verweis auf "BGH, st. Rspr." ohne konkretes Aktenzeichen (zu Recht, weil generisch). Zwei Fachbegriffe ("Schonfrist", "Heilung").</w:t>
      </w:r>
    </w:p>
    <w:p>
      <w:pPr>
        <w:jc w:val="left"/>
      </w:pPr>
      <w:r>
        <w:rPr>
          <w:b/>
        </w:rPr>
        <w:t>Einfache Sprache:</w:t>
      </w:r>
    </w:p>
    <w:p>
      <w:pPr>
        <w:ind w:left="567"/>
      </w:pPr>
      <w:r>
        <w:rPr>
          <w:i/>
        </w:rPr>
        <w:t>Wenn die Mietschulden bezahlt werden -- zum Beispiel vom Jobcenter --, kann die Kündigung in vielen Fällen "geheilt" werden. Das bedeutet: Die Kündigung gilt dann nicht mehr.</w:t>
      </w:r>
    </w:p>
    <w:p>
      <w:pPr>
        <w:ind w:left="567"/>
      </w:pPr>
    </w:p>
    <w:p>
      <w:pPr>
        <w:ind w:left="567"/>
      </w:pPr>
      <w:r>
        <w:rPr>
          <w:i/>
        </w:rPr>
        <w:t>Aber Achtung: Es gibt zwei Arten von Kündigung. Die fristlose Kündigung kann durch Zahlung geheilt werden. Die ordentliche Kündigung gilt unter Umständen weiter, auch wenn die Schulden bezahlt sind. Das prüfen wir genau.</w:t>
      </w:r>
    </w:p>
    <w:p>
      <w:pPr>
        <w:ind w:left="567"/>
      </w:pPr>
      <w:r>
        <w:rPr>
          <w:i/>
        </w:rPr>
        <w:t>Wortzahl: 65 in fünf Sätzen. Begriff "Schonfrist" weggelassen. "Heilung" beibehalten und sofort erklärt. Differenzierung "fristlos / ordentlich" beibehalten, weil rechtlich wichtig.</w:t>
      </w:r>
    </w:p>
    <w:p>
      <w:pPr>
        <w:jc w:val="left"/>
      </w:pPr>
      <w:r>
        <w:rPr>
          <w:b/>
        </w:rPr>
        <w:t>Leichte Sprache:</w:t>
      </w:r>
    </w:p>
    <w:p>
      <w:pPr>
        <w:ind w:left="567"/>
      </w:pPr>
      <w:r>
        <w:rPr>
          <w:i/>
        </w:rPr>
        <w:t>Weg 1: Das Jobcenter zahlt die Schulden</w:t>
      </w:r>
    </w:p>
    <w:p>
      <w:pPr>
        <w:ind w:left="567"/>
      </w:pPr>
    </w:p>
    <w:p>
      <w:pPr>
        <w:ind w:left="567"/>
      </w:pPr>
      <w:r>
        <w:rPr>
          <w:i/>
        </w:rPr>
        <w:t>Das Jobcenter kann die Mietschulden zahlen.</w:t>
      </w:r>
    </w:p>
    <w:p>
      <w:pPr>
        <w:ind w:left="567"/>
      </w:pPr>
    </w:p>
    <w:p>
      <w:pPr>
        <w:ind w:left="567"/>
      </w:pPr>
      <w:r>
        <w:rPr>
          <w:i/>
        </w:rPr>
        <w:t>Dann ist die Kündigung manchmal weg.</w:t>
      </w:r>
    </w:p>
    <w:p>
      <w:pPr>
        <w:ind w:left="567"/>
      </w:pPr>
    </w:p>
    <w:p>
      <w:pPr>
        <w:ind w:left="567"/>
      </w:pPr>
      <w:r>
        <w:rPr>
          <w:i/>
        </w:rPr>
        <w:t>Wir schreiben einen Brief an das Jobcenter.</w:t>
      </w:r>
    </w:p>
    <w:p>
      <w:pPr>
        <w:ind w:left="567"/>
      </w:pPr>
      <w:r>
        <w:rPr>
          <w:i/>
        </w:rPr>
        <w:t>Wir bitten das Jobcenter um Hilfe.</w:t>
      </w:r>
    </w:p>
    <w:p>
      <w:pPr>
        <w:ind w:left="567"/>
      </w:pPr>
      <w:r>
        <w:rPr>
          <w:i/>
        </w:rPr>
        <w:t>Wortzahl: 28 in vier kurzen Sätzen. Komplette Differenzierung zwischen fristloser und ordentlicher Kündigung weggelassen -- das ist ein bewusster Informationsverlust. Vorteil: Die Mandantin versteht den Kern ("das Jobcenter kann helfen"). Nachteil: Sie könnte fälschlich annehmen, dass die Kündigung bei Zahlung automatisch ganz weg ist.</w:t>
      </w:r>
    </w:p>
    <w:p>
      <w:pPr>
        <w:pStyle w:val="Heading3"/>
      </w:pPr>
      <w:r>
        <w:rPr>
          <w:rFonts w:ascii="Times New Roman" w:hAnsi="Times New Roman"/>
        </w:rPr>
        <w:t>Beispiel 2 -- Sozialklausel § 574 BGB</w:t>
      </w:r>
    </w:p>
    <w:p>
      <w:pPr>
        <w:jc w:val="left"/>
      </w:pPr>
      <w:r>
        <w:rPr>
          <w:b/>
        </w:rPr>
        <w:t>Schwer (Original):</w:t>
      </w:r>
    </w:p>
    <w:p>
      <w:pPr>
        <w:ind w:left="567"/>
      </w:pPr>
      <w:r>
        <w:rPr>
          <w:i/>
        </w:rPr>
        <w:t>Im Rahmen Ihrer persönlichen Situation -- insbesondere Bezug von Bürgergeld nach SGB II, langer Vermietungszeit von über 17 Jahren, bestehender rechtlicher Betreuung (§ 1814 BGB), gesundheitlicher Beeinträchtigungen -- kommt eine Sozialklausel nach § 574 BGB grundsätzlich in Betracht.</w:t>
      </w:r>
    </w:p>
    <w:p>
      <w:pPr>
        <w:ind w:left="567"/>
      </w:pPr>
      <w:r>
        <w:rPr>
          <w:i/>
        </w:rPr>
        <w:t>Wortzahl: 39. Aufzählungsklammer, Verweis auf zwei Paragraphen, Fachbegriff "Sozialklausel".</w:t>
      </w:r>
    </w:p>
    <w:p>
      <w:pPr>
        <w:jc w:val="left"/>
      </w:pPr>
      <w:r>
        <w:rPr>
          <w:b/>
        </w:rPr>
        <w:t>Einfache Sprache:</w:t>
      </w:r>
    </w:p>
    <w:p>
      <w:pPr>
        <w:ind w:left="567"/>
      </w:pPr>
      <w:r>
        <w:rPr>
          <w:i/>
        </w:rPr>
        <w:t>Sie wohnen seit über 17 Jahren in der Wohnung. Sie haben Bürgergeld. Sie haben eine rechtliche Betreuerin. Das alles spricht dafür, dass ein Umzug für Sie eine besondere Härte wäre. Das Gesetz schützt Mieterinnen und Mieter in solchen Fällen mit einer "Sozialklausel" (§ 574 BGB).</w:t>
      </w:r>
    </w:p>
    <w:p>
      <w:pPr>
        <w:ind w:left="567"/>
      </w:pPr>
      <w:r>
        <w:rPr>
          <w:i/>
        </w:rPr>
        <w:t>Wortzahl: 49 in fünf Sätzen. Konkrete persönliche Umstände in eigenen Sätzen, dann erst Folge ("besondere Härte"). Begriff "Sozialklausel" beibehalten, weil er griffig ist; Paragraph in Klammer als Information für mögliche Folgegespräche.</w:t>
      </w:r>
    </w:p>
    <w:p>
      <w:pPr>
        <w:jc w:val="left"/>
      </w:pPr>
      <w:r>
        <w:rPr>
          <w:b/>
        </w:rPr>
        <w:t>Leichte Sprache:</w:t>
      </w:r>
    </w:p>
    <w:p>
      <w:pPr>
        <w:ind w:left="567"/>
      </w:pPr>
      <w:r>
        <w:rPr>
          <w:i/>
        </w:rPr>
        <w:t>Weg 2: Sie sind ein Härtefall</w:t>
      </w:r>
    </w:p>
    <w:p>
      <w:pPr>
        <w:ind w:left="567"/>
      </w:pPr>
    </w:p>
    <w:p>
      <w:pPr>
        <w:ind w:left="567"/>
      </w:pPr>
      <w:r>
        <w:rPr>
          <w:i/>
        </w:rPr>
        <w:t>Sie wohnen schon sehr lange in der Wohnung.</w:t>
      </w:r>
    </w:p>
    <w:p>
      <w:pPr>
        <w:ind w:left="567"/>
      </w:pPr>
      <w:r>
        <w:rPr>
          <w:i/>
        </w:rPr>
        <w:t>Schon seit 17 Jahren.</w:t>
      </w:r>
    </w:p>
    <w:p>
      <w:pPr>
        <w:ind w:left="567"/>
      </w:pPr>
    </w:p>
    <w:p>
      <w:pPr>
        <w:ind w:left="567"/>
      </w:pPr>
      <w:r>
        <w:rPr>
          <w:i/>
        </w:rPr>
        <w:t>Sie bekommen Bürgergeld.</w:t>
      </w:r>
    </w:p>
    <w:p>
      <w:pPr>
        <w:ind w:left="567"/>
      </w:pPr>
    </w:p>
    <w:p>
      <w:pPr>
        <w:ind w:left="567"/>
      </w:pPr>
      <w:r>
        <w:rPr>
          <w:i/>
        </w:rPr>
        <w:t>Sie haben eine Betreuerin.</w:t>
      </w:r>
    </w:p>
    <w:p>
      <w:pPr>
        <w:ind w:left="567"/>
      </w:pPr>
    </w:p>
    <w:p>
      <w:pPr>
        <w:ind w:left="567"/>
      </w:pPr>
      <w:r>
        <w:rPr>
          <w:i/>
        </w:rPr>
        <w:t>Das alles ist wichtig.</w:t>
      </w:r>
    </w:p>
    <w:p>
      <w:pPr>
        <w:ind w:left="567"/>
      </w:pPr>
    </w:p>
    <w:p>
      <w:pPr>
        <w:ind w:left="567"/>
      </w:pPr>
      <w:r>
        <w:rPr>
          <w:i/>
        </w:rPr>
        <w:t>Das Gesetz schützt Sie.</w:t>
      </w:r>
    </w:p>
    <w:p>
      <w:pPr>
        <w:ind w:left="567"/>
      </w:pPr>
      <w:r>
        <w:rPr>
          <w:i/>
        </w:rPr>
        <w:t>Sie sind ein besonderer Fall.</w:t>
      </w:r>
    </w:p>
    <w:p>
      <w:pPr>
        <w:ind w:left="567"/>
      </w:pPr>
    </w:p>
    <w:p>
      <w:pPr>
        <w:ind w:left="567"/>
      </w:pPr>
      <w:r>
        <w:rPr>
          <w:i/>
        </w:rPr>
        <w:t>Sie müssen vielleicht nicht ausziehen.</w:t>
      </w:r>
    </w:p>
    <w:p>
      <w:pPr>
        <w:ind w:left="567"/>
      </w:pPr>
      <w:r>
        <w:rPr>
          <w:i/>
        </w:rPr>
        <w:t>Wortzahl: 47 in neun kurzen Sätzen. Begriff "Sozialklausel" durch "Härtefall" / "besonderer Fall" ersetzt. Konkrete Umstände einzeln genannt. Ergebnis ("müssen vielleicht nicht ausziehen") am Ende.</w:t>
      </w:r>
    </w:p>
    <w:p>
      <w:pPr>
        <w:pStyle w:val="Heading3"/>
      </w:pPr>
      <w:r>
        <w:rPr>
          <w:rFonts w:ascii="Times New Roman" w:hAnsi="Times New Roman"/>
        </w:rPr>
        <w:t>Beispiel 3 -- Kostenhinweis</w:t>
      </w:r>
    </w:p>
    <w:p>
      <w:pPr>
        <w:jc w:val="left"/>
      </w:pPr>
      <w:r>
        <w:rPr>
          <w:b/>
        </w:rPr>
        <w:t>Schwer (Original):</w:t>
      </w:r>
    </w:p>
    <w:p>
      <w:pPr>
        <w:ind w:left="567"/>
      </w:pPr>
      <w:r>
        <w:rPr>
          <w:i/>
        </w:rPr>
        <w:t>Die Vertretung in Mietrechtsangelegenheiten ist nicht durch die Beratungshilfe abgedeckt, soweit es um Wahrnehmung von Rechten und Pflichten gegenüber Privaten (Vermieter) geht. Für die Wahrnehmung Ihrer Interessen gegenüber dem Jobcenter (§ 22 Abs. 8 SGB II) gilt jedoch Beratungshilfe weiterhin. Wir empfehlen, vorsorglich auch einen Antrag auf Prozesskostenhilfe für eine etwaige Räumungsklage zu stellen, sobald solche absehbar wird.</w:t>
      </w:r>
    </w:p>
    <w:p>
      <w:pPr>
        <w:ind w:left="567"/>
      </w:pPr>
      <w:r>
        <w:rPr>
          <w:i/>
        </w:rPr>
        <w:t>Wortzahl: 56. Drei Sätze, davon einer mit Bedingungssatz. Drei Begriffe ("Beratungshilfe", "Prozesskostenhilfe", "Räumungsklage").</w:t>
      </w:r>
    </w:p>
    <w:p>
      <w:pPr>
        <w:jc w:val="left"/>
      </w:pPr>
      <w:r>
        <w:rPr>
          <w:b/>
        </w:rPr>
        <w:t>Einfache Sprache:</w:t>
      </w:r>
    </w:p>
    <w:p>
      <w:pPr>
        <w:ind w:left="567"/>
      </w:pPr>
      <w:r>
        <w:rPr>
          <w:i/>
        </w:rPr>
        <w:t>Hier ist die Lage etwas anders als beim ersten Brief.</w:t>
      </w:r>
    </w:p>
    <w:p>
      <w:pPr>
        <w:ind w:left="567"/>
      </w:pPr>
    </w:p>
    <w:p>
      <w:pPr>
        <w:ind w:left="567"/>
      </w:pPr>
      <w:r>
        <w:rPr>
          <w:b/>
          <w:i/>
        </w:rPr>
        <w:t>Für den Antrag beim Jobcenter</w:t>
      </w:r>
      <w:r>
        <w:rPr>
          <w:i/>
        </w:rPr>
        <w:t xml:space="preserve"> (§ 22 Abs. 8 SGB II) gilt </w:t>
      </w:r>
      <w:r>
        <w:rPr>
          <w:b/>
          <w:i/>
        </w:rPr>
        <w:t>Beratungshilfe</w:t>
      </w:r>
      <w:r>
        <w:rPr>
          <w:i/>
        </w:rPr>
        <w:t>. Das heißt: Für Sie ist es kostenlos, wenn Sie einen Beratungshilfeschein vom Amtsgericht haben.</w:t>
      </w:r>
    </w:p>
    <w:p>
      <w:pPr>
        <w:ind w:left="567"/>
      </w:pPr>
    </w:p>
    <w:p>
      <w:pPr>
        <w:ind w:left="567"/>
      </w:pPr>
      <w:r>
        <w:rPr>
          <w:b/>
          <w:i/>
        </w:rPr>
        <w:t>Für den Widerspruch gegen die Kündigung der Vermieterin</w:t>
      </w:r>
      <w:r>
        <w:rPr>
          <w:i/>
        </w:rPr>
        <w:t xml:space="preserve"> gilt die Beratungshilfe nicht. Wenn eine Räumungsklage kommt, können wir aber </w:t>
      </w:r>
      <w:r>
        <w:rPr>
          <w:b/>
          <w:i/>
        </w:rPr>
        <w:t>Prozesskostenhilfe</w:t>
      </w:r>
      <w:r>
        <w:rPr>
          <w:i/>
        </w:rPr>
        <w:t xml:space="preserve"> für Sie beantragen. Das ist eine andere Form der staatlichen Unterstützung.</w:t>
      </w:r>
    </w:p>
    <w:p>
      <w:pPr>
        <w:ind w:left="567"/>
      </w:pPr>
    </w:p>
    <w:p>
      <w:pPr>
        <w:ind w:left="567"/>
      </w:pPr>
      <w:r>
        <w:rPr>
          <w:i/>
        </w:rPr>
        <w:t>Wir helfen Ihnen bei beiden Anträgen.</w:t>
      </w:r>
    </w:p>
    <w:p>
      <w:pPr>
        <w:ind w:left="567"/>
      </w:pPr>
      <w:r>
        <w:rPr>
          <w:i/>
        </w:rPr>
        <w:t>Wortzahl: 78 in sechs Sätzen. Differenzierung Beratungshilfe / Prozesskostenhilfe in eigenen Absätzen. Schluss-Satz "Wir helfen Ihnen bei beiden Anträgen" gibt der Mandantin Sicherheit.</w:t>
      </w:r>
    </w:p>
    <w:p>
      <w:pPr>
        <w:jc w:val="left"/>
      </w:pPr>
      <w:r>
        <w:rPr>
          <w:b/>
        </w:rPr>
        <w:t>Leichte Sprache:</w:t>
      </w:r>
    </w:p>
    <w:p>
      <w:pPr>
        <w:ind w:left="567"/>
      </w:pPr>
      <w:r>
        <w:rPr>
          <w:i/>
        </w:rPr>
        <w:t>Kostet das etwas?</w:t>
      </w:r>
    </w:p>
    <w:p>
      <w:pPr>
        <w:ind w:left="567"/>
      </w:pPr>
    </w:p>
    <w:p>
      <w:pPr>
        <w:ind w:left="567"/>
      </w:pPr>
      <w:r>
        <w:rPr>
          <w:i/>
        </w:rPr>
        <w:t>Es ist kompliziert.</w:t>
      </w:r>
    </w:p>
    <w:p>
      <w:pPr>
        <w:ind w:left="567"/>
      </w:pPr>
    </w:p>
    <w:p>
      <w:pPr>
        <w:ind w:left="567"/>
      </w:pPr>
      <w:r>
        <w:rPr>
          <w:i/>
        </w:rPr>
        <w:t>Ein Teil ist kostenlos.</w:t>
      </w:r>
    </w:p>
    <w:p>
      <w:pPr>
        <w:ind w:left="567"/>
      </w:pPr>
      <w:r>
        <w:rPr>
          <w:i/>
        </w:rPr>
        <w:t>Der Brief an das Jobcenter ist kostenlos.</w:t>
      </w:r>
    </w:p>
    <w:p>
      <w:pPr>
        <w:ind w:left="567"/>
      </w:pPr>
      <w:r>
        <w:rPr>
          <w:i/>
        </w:rPr>
        <w:t>Wenn Sie Beratungshilfe haben.</w:t>
      </w:r>
    </w:p>
    <w:p>
      <w:pPr>
        <w:ind w:left="567"/>
      </w:pPr>
    </w:p>
    <w:p>
      <w:pPr>
        <w:ind w:left="567"/>
      </w:pPr>
      <w:r>
        <w:rPr>
          <w:i/>
        </w:rPr>
        <w:t>Ein anderer Teil ist nicht automatisch kostenlos.</w:t>
      </w:r>
    </w:p>
    <w:p>
      <w:pPr>
        <w:ind w:left="567"/>
      </w:pPr>
      <w:r>
        <w:rPr>
          <w:i/>
        </w:rPr>
        <w:t>Der Streit mit der Vermieterin.</w:t>
      </w:r>
    </w:p>
    <w:p>
      <w:pPr>
        <w:ind w:left="567"/>
      </w:pPr>
    </w:p>
    <w:p>
      <w:pPr>
        <w:ind w:left="567"/>
      </w:pPr>
      <w:r>
        <w:rPr>
          <w:i/>
        </w:rPr>
        <w:t>Aber:</w:t>
      </w:r>
    </w:p>
    <w:p>
      <w:pPr>
        <w:ind w:left="567"/>
      </w:pPr>
      <w:r>
        <w:rPr>
          <w:i/>
        </w:rPr>
        <w:t>Wir können einen Antrag stellen.</w:t>
      </w:r>
    </w:p>
    <w:p>
      <w:pPr>
        <w:ind w:left="567"/>
      </w:pPr>
      <w:r>
        <w:rPr>
          <w:i/>
        </w:rPr>
        <w:t>Der Staat zahlt dann oft.</w:t>
      </w:r>
    </w:p>
    <w:p>
      <w:pPr>
        <w:ind w:left="567"/>
      </w:pPr>
    </w:p>
    <w:p>
      <w:pPr>
        <w:ind w:left="567"/>
      </w:pPr>
      <w:r>
        <w:rPr>
          <w:i/>
        </w:rPr>
        <w:t>Das heißt Prozesskostenhilfe.</w:t>
      </w:r>
    </w:p>
    <w:p>
      <w:pPr>
        <w:ind w:left="567"/>
      </w:pPr>
    </w:p>
    <w:p>
      <w:pPr>
        <w:ind w:left="567"/>
      </w:pPr>
      <w:r>
        <w:rPr>
          <w:i/>
        </w:rPr>
        <w:t>Wir helfen Ihnen dabei.</w:t>
      </w:r>
    </w:p>
    <w:p>
      <w:pPr>
        <w:ind w:left="567"/>
      </w:pPr>
      <w:r>
        <w:rPr>
          <w:i/>
        </w:rPr>
        <w:t>Wortzahl: 56 in elf kurzen Sätzen. Der Anfangssatz "Es ist kompliziert" benennt offen die Komplexität, anstatt sie zu verstecken. Begriffe "Beratungshilfe" und "Prozesskostenhilfe" beibehalten, aber im Text klargemacht, wozu sie gehören.</w:t>
      </w:r>
    </w:p>
    <w:p>
      <w:pPr>
        <w:pStyle w:val="Heading2"/>
      </w:pPr>
      <w:r>
        <w:rPr>
          <w:rFonts w:ascii="Times New Roman" w:hAnsi="Times New Roman"/>
        </w:rPr>
        <w:t>Bewertung der Übersetzung Brief 2</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Kriterium</w:t>
            </w:r>
          </w:p>
        </w:tc>
        <w:tc>
          <w:tcPr>
            <w:tcW w:type="dxa" w:w="3024"/>
          </w:tcPr>
          <w:p>
            <w:r>
              <w:rPr>
                <w:rFonts w:ascii="Times New Roman" w:hAnsi="Times New Roman"/>
                <w:b/>
                <w:sz w:val="20"/>
              </w:rPr>
              <w:t>Einfache Sprache</w:t>
            </w:r>
          </w:p>
        </w:tc>
        <w:tc>
          <w:tcPr>
            <w:tcW w:type="dxa" w:w="3024"/>
          </w:tcPr>
          <w:p>
            <w:r>
              <w:rPr>
                <w:rFonts w:ascii="Times New Roman" w:hAnsi="Times New Roman"/>
                <w:b/>
                <w:sz w:val="20"/>
              </w:rPr>
              <w:t>Leichte Sprache</w:t>
            </w:r>
          </w:p>
        </w:tc>
      </w:tr>
      <w:tr>
        <w:tc>
          <w:tcPr>
            <w:tcW w:type="dxa" w:w="3024"/>
          </w:tcPr>
          <w:p>
            <w:r>
              <w:rPr>
                <w:rFonts w:ascii="Times New Roman" w:hAnsi="Times New Roman"/>
                <w:sz w:val="20"/>
              </w:rPr>
              <w:t>Verständlichkeit</w:t>
            </w:r>
          </w:p>
        </w:tc>
        <w:tc>
          <w:tcPr>
            <w:tcW w:type="dxa" w:w="3024"/>
          </w:tcPr>
          <w:p>
            <w:r>
              <w:rPr>
                <w:rFonts w:ascii="Times New Roman" w:hAnsi="Times New Roman"/>
                <w:sz w:val="20"/>
              </w:rPr>
              <w:t>gut</w:t>
            </w:r>
          </w:p>
        </w:tc>
        <w:tc>
          <w:tcPr>
            <w:tcW w:type="dxa" w:w="3024"/>
          </w:tcPr>
          <w:p>
            <w:r>
              <w:rPr>
                <w:rFonts w:ascii="Times New Roman" w:hAnsi="Times New Roman"/>
                <w:sz w:val="20"/>
              </w:rPr>
              <w:t>sehr gut für Zielgruppe (vorausgesetzt Zielgruppenprüfung erfolgt)</w:t>
            </w:r>
          </w:p>
        </w:tc>
      </w:tr>
      <w:tr>
        <w:tc>
          <w:tcPr>
            <w:tcW w:type="dxa" w:w="3024"/>
          </w:tcPr>
          <w:p>
            <w:r>
              <w:rPr>
                <w:rFonts w:ascii="Times New Roman" w:hAnsi="Times New Roman"/>
                <w:sz w:val="20"/>
              </w:rPr>
              <w:t>Informationstreue</w:t>
            </w:r>
          </w:p>
        </w:tc>
        <w:tc>
          <w:tcPr>
            <w:tcW w:type="dxa" w:w="3024"/>
          </w:tcPr>
          <w:p>
            <w:r>
              <w:rPr>
                <w:rFonts w:ascii="Times New Roman" w:hAnsi="Times New Roman"/>
                <w:sz w:val="20"/>
              </w:rPr>
              <w:t>hoch</w:t>
            </w:r>
          </w:p>
        </w:tc>
        <w:tc>
          <w:tcPr>
            <w:tcW w:type="dxa" w:w="3024"/>
          </w:tcPr>
          <w:p>
            <w:r>
              <w:rPr>
                <w:rFonts w:ascii="Times New Roman" w:hAnsi="Times New Roman"/>
                <w:sz w:val="20"/>
              </w:rPr>
              <w:t>mittel (Differenzierung fristlos / ordentlich verkürzt)</w:t>
            </w:r>
          </w:p>
        </w:tc>
      </w:tr>
      <w:tr>
        <w:tc>
          <w:tcPr>
            <w:tcW w:type="dxa" w:w="3024"/>
          </w:tcPr>
          <w:p>
            <w:r>
              <w:rPr>
                <w:rFonts w:ascii="Times New Roman" w:hAnsi="Times New Roman"/>
                <w:sz w:val="20"/>
              </w:rPr>
              <w:t>Handlungsorientierung</w:t>
            </w:r>
          </w:p>
        </w:tc>
        <w:tc>
          <w:tcPr>
            <w:tcW w:type="dxa" w:w="3024"/>
          </w:tcPr>
          <w:p>
            <w:r>
              <w:rPr>
                <w:rFonts w:ascii="Times New Roman" w:hAnsi="Times New Roman"/>
                <w:sz w:val="20"/>
              </w:rPr>
              <w:t>gut</w:t>
            </w:r>
          </w:p>
        </w:tc>
        <w:tc>
          <w:tcPr>
            <w:tcW w:type="dxa" w:w="3024"/>
          </w:tcPr>
          <w:p>
            <w:r>
              <w:rPr>
                <w:rFonts w:ascii="Times New Roman" w:hAnsi="Times New Roman"/>
                <w:sz w:val="20"/>
              </w:rPr>
              <w:t>gut (Telefonnummer, klare Frist)</w:t>
            </w:r>
          </w:p>
        </w:tc>
      </w:tr>
      <w:tr>
        <w:tc>
          <w:tcPr>
            <w:tcW w:type="dxa" w:w="3024"/>
          </w:tcPr>
          <w:p>
            <w:r>
              <w:rPr>
                <w:rFonts w:ascii="Times New Roman" w:hAnsi="Times New Roman"/>
                <w:sz w:val="20"/>
              </w:rPr>
              <w:t>Tonfall</w:t>
            </w:r>
          </w:p>
        </w:tc>
        <w:tc>
          <w:tcPr>
            <w:tcW w:type="dxa" w:w="3024"/>
          </w:tcPr>
          <w:p>
            <w:r>
              <w:rPr>
                <w:rFonts w:ascii="Times New Roman" w:hAnsi="Times New Roman"/>
                <w:sz w:val="20"/>
              </w:rPr>
              <w:t>freundlich, professionell</w:t>
            </w:r>
          </w:p>
        </w:tc>
        <w:tc>
          <w:tcPr>
            <w:tcW w:type="dxa" w:w="3024"/>
          </w:tcPr>
          <w:p>
            <w:r>
              <w:rPr>
                <w:rFonts w:ascii="Times New Roman" w:hAnsi="Times New Roman"/>
                <w:sz w:val="20"/>
              </w:rPr>
              <w:t>freundlich, einfühlsam</w:t>
            </w:r>
          </w:p>
        </w:tc>
      </w:tr>
      <w:tr>
        <w:tc>
          <w:tcPr>
            <w:tcW w:type="dxa" w:w="3024"/>
          </w:tcPr>
          <w:p>
            <w:r>
              <w:rPr>
                <w:rFonts w:ascii="Times New Roman" w:hAnsi="Times New Roman"/>
                <w:sz w:val="20"/>
              </w:rPr>
              <w:t>Rechtssicherheit (für Anwältin)</w:t>
            </w:r>
          </w:p>
        </w:tc>
        <w:tc>
          <w:tcPr>
            <w:tcW w:type="dxa" w:w="3024"/>
          </w:tcPr>
          <w:p>
            <w:r>
              <w:rPr>
                <w:rFonts w:ascii="Times New Roman" w:hAnsi="Times New Roman"/>
                <w:sz w:val="20"/>
              </w:rPr>
              <w:t>hoch</w:t>
            </w:r>
          </w:p>
        </w:tc>
        <w:tc>
          <w:tcPr>
            <w:tcW w:type="dxa" w:w="3024"/>
          </w:tcPr>
          <w:p>
            <w:r>
              <w:rPr>
                <w:rFonts w:ascii="Times New Roman" w:hAnsi="Times New Roman"/>
                <w:sz w:val="20"/>
              </w:rPr>
              <w:t>mittel (Anwältin muss Mandantin im Folgegespräch ergänzend informieren)</w:t>
            </w:r>
          </w:p>
        </w:tc>
      </w:tr>
    </w:tbl>
    <w:p>
      <w:pPr>
        <w:pStyle w:val="Heading2"/>
      </w:pPr>
      <w:r>
        <w:rPr>
          <w:rFonts w:ascii="Times New Roman" w:hAnsi="Times New Roman"/>
        </w:rPr>
        <w:t>Hinweise an die Anwältin</w:t>
      </w:r>
    </w:p>
    <w:p>
      <w:pPr>
        <w:pStyle w:val="ListBullet"/>
      </w:pPr>
      <w:r>
        <w:t xml:space="preserve">Nach Empfang der Antwort Frau Neumann sollte ein </w:t>
      </w:r>
      <w:r>
        <w:rPr>
          <w:b/>
        </w:rPr>
        <w:t>kurzes Folgegespräch</w:t>
      </w:r>
      <w:r>
        <w:t xml:space="preserve"> stattfinden, weil die Differenzierung "fristlos / ordentlich" in der Leichte-Sprache-Fassung verloren gegangen ist. Der Hinweis sollte sein: "Selbst wenn das Jobcenter die Schulden übernimmt, müssen wir die Kündigung weiter prüfen, weil eine zweite Kündigungsart noch wirken könnte."</w:t>
      </w:r>
    </w:p>
    <w:p>
      <w:pPr>
        <w:pStyle w:val="ListBullet"/>
      </w:pPr>
      <w:r>
        <w:t xml:space="preserve">Die </w:t>
      </w:r>
      <w:r>
        <w:rPr>
          <w:b/>
        </w:rPr>
        <w:t>Betreuerin Frau Schmuck</w:t>
      </w:r>
      <w:r>
        <w:t xml:space="preserve"> sollte eine Kopie der Einfachen-Sprache-Fassung erhalten, damit sie das Gespräch mit Frau Neumann nachvollziehen kann.</w:t>
      </w:r>
    </w:p>
    <w:p>
      <w:pPr>
        <w:pStyle w:val="ListBullet"/>
      </w:pPr>
      <w:r>
        <w:t xml:space="preserve">Die </w:t>
      </w:r>
      <w:r>
        <w:rPr>
          <w:b/>
        </w:rPr>
        <w:t>Vorlage beim Amtsgericht Berlin-Mitte</w:t>
      </w:r>
      <w:r>
        <w:t xml:space="preserve"> (Beratungshilfeschein für Sozialrecht-Teil) sollte gleichzeitig erfolgen.</w:t>
      </w:r>
    </w:p>
    <w:p>
      <w:pPr>
        <w:pStyle w:val="Heading2"/>
      </w:pPr>
      <w:r>
        <w:rPr>
          <w:rFonts w:ascii="Times New Roman" w:hAnsi="Times New Roman"/>
        </w:rPr>
        <w:t>Was war in Brief 2 anders als in Brief 1?</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Aspekt</w:t>
            </w:r>
          </w:p>
        </w:tc>
        <w:tc>
          <w:tcPr>
            <w:tcW w:type="dxa" w:w="3024"/>
          </w:tcPr>
          <w:p>
            <w:r>
              <w:rPr>
                <w:rFonts w:ascii="Times New Roman" w:hAnsi="Times New Roman"/>
                <w:b/>
                <w:sz w:val="20"/>
              </w:rPr>
              <w:t>Brief 1 (Heizkosten)</w:t>
            </w:r>
          </w:p>
        </w:tc>
        <w:tc>
          <w:tcPr>
            <w:tcW w:type="dxa" w:w="3024"/>
          </w:tcPr>
          <w:p>
            <w:r>
              <w:rPr>
                <w:rFonts w:ascii="Times New Roman" w:hAnsi="Times New Roman"/>
                <w:b/>
                <w:sz w:val="20"/>
              </w:rPr>
              <w:t>Brief 2 (Mietkündigung)</w:t>
            </w:r>
          </w:p>
        </w:tc>
      </w:tr>
      <w:tr>
        <w:tc>
          <w:tcPr>
            <w:tcW w:type="dxa" w:w="3024"/>
          </w:tcPr>
          <w:p>
            <w:r>
              <w:rPr>
                <w:rFonts w:ascii="Times New Roman" w:hAnsi="Times New Roman"/>
                <w:sz w:val="20"/>
              </w:rPr>
              <w:t>Adressaten</w:t>
            </w:r>
          </w:p>
        </w:tc>
        <w:tc>
          <w:tcPr>
            <w:tcW w:type="dxa" w:w="3024"/>
          </w:tcPr>
          <w:p>
            <w:r>
              <w:rPr>
                <w:rFonts w:ascii="Times New Roman" w:hAnsi="Times New Roman"/>
                <w:sz w:val="20"/>
              </w:rPr>
              <w:t>nur Jobcenter</w:t>
            </w:r>
          </w:p>
        </w:tc>
        <w:tc>
          <w:tcPr>
            <w:tcW w:type="dxa" w:w="3024"/>
          </w:tcPr>
          <w:p>
            <w:r>
              <w:rPr>
                <w:rFonts w:ascii="Times New Roman" w:hAnsi="Times New Roman"/>
                <w:sz w:val="20"/>
              </w:rPr>
              <w:t>Vermieterin + Jobcenter + Amtsgericht (Beratungshilfe)</w:t>
            </w:r>
          </w:p>
        </w:tc>
      </w:tr>
      <w:tr>
        <w:tc>
          <w:tcPr>
            <w:tcW w:type="dxa" w:w="3024"/>
          </w:tcPr>
          <w:p>
            <w:r>
              <w:rPr>
                <w:rFonts w:ascii="Times New Roman" w:hAnsi="Times New Roman"/>
                <w:sz w:val="20"/>
              </w:rPr>
              <w:t>Rechtsgebiete</w:t>
            </w:r>
          </w:p>
        </w:tc>
        <w:tc>
          <w:tcPr>
            <w:tcW w:type="dxa" w:w="3024"/>
          </w:tcPr>
          <w:p>
            <w:r>
              <w:rPr>
                <w:rFonts w:ascii="Times New Roman" w:hAnsi="Times New Roman"/>
                <w:sz w:val="20"/>
              </w:rPr>
              <w:t>Sozialrecht</w:t>
            </w:r>
          </w:p>
        </w:tc>
        <w:tc>
          <w:tcPr>
            <w:tcW w:type="dxa" w:w="3024"/>
          </w:tcPr>
          <w:p>
            <w:r>
              <w:rPr>
                <w:rFonts w:ascii="Times New Roman" w:hAnsi="Times New Roman"/>
                <w:sz w:val="20"/>
              </w:rPr>
              <w:t>Mietrecht + Sozialrecht</w:t>
            </w:r>
          </w:p>
        </w:tc>
      </w:tr>
      <w:tr>
        <w:tc>
          <w:tcPr>
            <w:tcW w:type="dxa" w:w="3024"/>
          </w:tcPr>
          <w:p>
            <w:r>
              <w:rPr>
                <w:rFonts w:ascii="Times New Roman" w:hAnsi="Times New Roman"/>
                <w:sz w:val="20"/>
              </w:rPr>
              <w:t>Rechtsfolge bei Versäumnis</w:t>
            </w:r>
          </w:p>
        </w:tc>
        <w:tc>
          <w:tcPr>
            <w:tcW w:type="dxa" w:w="3024"/>
          </w:tcPr>
          <w:p>
            <w:r>
              <w:rPr>
                <w:rFonts w:ascii="Times New Roman" w:hAnsi="Times New Roman"/>
                <w:sz w:val="20"/>
              </w:rPr>
              <w:t>Bestandskraft des Bescheids</w:t>
            </w:r>
          </w:p>
        </w:tc>
        <w:tc>
          <w:tcPr>
            <w:tcW w:type="dxa" w:w="3024"/>
          </w:tcPr>
          <w:p>
            <w:r>
              <w:rPr>
                <w:rFonts w:ascii="Times New Roman" w:hAnsi="Times New Roman"/>
                <w:sz w:val="20"/>
              </w:rPr>
              <w:t>Räumung der Wohnung</w:t>
            </w:r>
          </w:p>
        </w:tc>
      </w:tr>
      <w:tr>
        <w:tc>
          <w:tcPr>
            <w:tcW w:type="dxa" w:w="3024"/>
          </w:tcPr>
          <w:p>
            <w:r>
              <w:rPr>
                <w:rFonts w:ascii="Times New Roman" w:hAnsi="Times New Roman"/>
                <w:sz w:val="20"/>
              </w:rPr>
              <w:t>Emotionale Belastung Mandantin</w:t>
            </w:r>
          </w:p>
        </w:tc>
        <w:tc>
          <w:tcPr>
            <w:tcW w:type="dxa" w:w="3024"/>
          </w:tcPr>
          <w:p>
            <w:r>
              <w:rPr>
                <w:rFonts w:ascii="Times New Roman" w:hAnsi="Times New Roman"/>
                <w:sz w:val="20"/>
              </w:rPr>
              <w:t>mittel</w:t>
            </w:r>
          </w:p>
        </w:tc>
        <w:tc>
          <w:tcPr>
            <w:tcW w:type="dxa" w:w="3024"/>
          </w:tcPr>
          <w:p>
            <w:r>
              <w:rPr>
                <w:rFonts w:ascii="Times New Roman" w:hAnsi="Times New Roman"/>
                <w:sz w:val="20"/>
              </w:rPr>
              <w:t>hoch (Verlust der Wohnung)</w:t>
            </w:r>
          </w:p>
        </w:tc>
      </w:tr>
      <w:tr>
        <w:tc>
          <w:tcPr>
            <w:tcW w:type="dxa" w:w="3024"/>
          </w:tcPr>
          <w:p>
            <w:r>
              <w:rPr>
                <w:rFonts w:ascii="Times New Roman" w:hAnsi="Times New Roman"/>
                <w:sz w:val="20"/>
              </w:rPr>
              <w:t>Sprachstufenübersetzung Schwierigkeit</w:t>
            </w:r>
          </w:p>
        </w:tc>
        <w:tc>
          <w:tcPr>
            <w:tcW w:type="dxa" w:w="3024"/>
          </w:tcPr>
          <w:p>
            <w:r>
              <w:rPr>
                <w:rFonts w:ascii="Times New Roman" w:hAnsi="Times New Roman"/>
                <w:sz w:val="20"/>
              </w:rPr>
              <w:t>mittel</w:t>
            </w:r>
          </w:p>
        </w:tc>
        <w:tc>
          <w:tcPr>
            <w:tcW w:type="dxa" w:w="3024"/>
          </w:tcPr>
          <w:p>
            <w:r>
              <w:rPr>
                <w:rFonts w:ascii="Times New Roman" w:hAnsi="Times New Roman"/>
                <w:sz w:val="20"/>
              </w:rPr>
              <w:t>hoch</w:t>
            </w:r>
          </w:p>
        </w:tc>
      </w:tr>
      <w:tr>
        <w:tc>
          <w:tcPr>
            <w:tcW w:type="dxa" w:w="3024"/>
          </w:tcPr>
          <w:p>
            <w:r>
              <w:rPr>
                <w:rFonts w:ascii="Times New Roman" w:hAnsi="Times New Roman"/>
                <w:sz w:val="20"/>
              </w:rPr>
              <w:t>Zielgruppenprüfung erforderlich</w:t>
            </w:r>
          </w:p>
        </w:tc>
        <w:tc>
          <w:tcPr>
            <w:tcW w:type="dxa" w:w="3024"/>
          </w:tcPr>
          <w:p>
            <w:r>
              <w:rPr>
                <w:rFonts w:ascii="Times New Roman" w:hAnsi="Times New Roman"/>
                <w:sz w:val="20"/>
              </w:rPr>
              <w:t>empfohlen</w:t>
            </w:r>
          </w:p>
        </w:tc>
        <w:tc>
          <w:tcPr>
            <w:tcW w:type="dxa" w:w="3024"/>
          </w:tcPr>
          <w:p>
            <w:r>
              <w:rPr>
                <w:rFonts w:ascii="Times New Roman" w:hAnsi="Times New Roman"/>
                <w:sz w:val="20"/>
              </w:rPr>
              <w:t>dringend empfohlen</w:t>
            </w:r>
          </w:p>
        </w:tc>
      </w:tr>
    </w:tbl>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Mehrere Adressaten angesprochen werden (Vermieterin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Mehrere Adressaten angesprochen werden (Vermieterin</w:t>
    </w:r>
  </w:p>
  <w:p>
    <w:pPr>
      <w:jc w:val="left"/>
      <w:pBdr>
        <w:bottom w:val="single" w:sz="6" w:space="2" w:color="3B3F45"/>
      </w:pBdr>
    </w:pPr>
    <w:r>
      <w:rPr>
        <w:rFonts w:ascii="Times New Roman" w:hAnsi="Times New Roman"/>
        <w:color w:val="6B6B66"/>
        <w:sz w:val="16"/>
      </w:rPr>
      <w:t>Jobcenter, Amtsgericht).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