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Wärmeliefervertrag – Nahwärme Quartier Hafenbogen</w:t>
      </w:r>
    </w:p>
    <w:p>
      <w:pPr>
        <w:jc w:val="left"/>
      </w:pPr>
      <w:r>
        <w:rPr>
          <w:b/>
        </w:rPr>
        <w:t>Vertragsnummer:</w:t>
      </w:r>
      <w:r>
        <w:t xml:space="preserve"> SWKK-WLV-2026-001</w:t>
      </w:r>
    </w:p>
    <w:p>
      <w:pPr>
        <w:jc w:val="left"/>
      </w:pPr>
      <w:r>
        <w:rPr>
          <w:b/>
        </w:rPr>
        <w:t>Stand:</w:t>
      </w:r>
      <w:r>
        <w:t xml:space="preserve"> Oktober 2026</w:t>
      </w:r>
    </w:p>
    <w:p/>
    <w:p>
      <w:pPr>
        <w:pStyle w:val="Heading2"/>
      </w:pPr>
      <w:r>
        <w:rPr>
          <w:rFonts w:ascii="Times New Roman" w:hAnsi="Times New Roman"/>
        </w:rPr>
        <w:t>WÄRMELIEFERVERTRAG</w:t>
      </w:r>
    </w:p>
    <w:p>
      <w:pPr>
        <w:jc w:val="left"/>
      </w:pPr>
      <w:r>
        <w:t>zwischen</w:t>
      </w:r>
    </w:p>
    <w:p>
      <w:pPr>
        <w:jc w:val="left"/>
      </w:pPr>
      <w:r>
        <w:rPr>
          <w:b/>
        </w:rPr>
        <w:t>Stadtwerke Klotzkette AG</w:t>
      </w:r>
    </w:p>
    <w:p>
      <w:pPr>
        <w:jc w:val="left"/>
      </w:pPr>
      <w:r>
        <w:t>Bahnhofstraße 12, 59348 Lüdinghausen</w:t>
      </w:r>
    </w:p>
    <w:p>
      <w:pPr>
        <w:jc w:val="left"/>
      </w:pPr>
      <w:r>
        <w:t>HRB 18642, AG Münster · USt-IdNr. DE 812 334 499</w:t>
      </w:r>
    </w:p>
    <w:p>
      <w:pPr>
        <w:jc w:val="left"/>
      </w:pPr>
      <w:r>
        <w:t>Vertreten durch: Dr. Gerda Wohlfahrt, Vorstandsvorsitzende</w:t>
      </w:r>
    </w:p>
    <w:p>
      <w:pPr>
        <w:jc w:val="left"/>
      </w:pPr>
      <w:r>
        <w:t xml:space="preserve">(nachfolgend </w:t>
      </w:r>
      <w:r>
        <w:rPr>
          <w:b/>
        </w:rPr>
        <w:t>"Lieferant"</w:t>
      </w:r>
      <w:r>
        <w:t>)</w:t>
      </w:r>
    </w:p>
    <w:p>
      <w:pPr>
        <w:jc w:val="left"/>
      </w:pPr>
      <w:r>
        <w:t>und</w:t>
      </w:r>
    </w:p>
    <w:p>
      <w:pPr>
        <w:jc w:val="left"/>
      </w:pPr>
      <w:r>
        <w:rPr>
          <w:b/>
        </w:rPr>
        <w:t>[Name Abnehmer / Eigentümergemeinschaft / Mieter]</w:t>
      </w:r>
    </w:p>
    <w:p>
      <w:pPr>
        <w:jc w:val="left"/>
      </w:pPr>
      <w:r>
        <w:t>[Straße, Hausnummer, PLZ, Ort]</w:t>
      </w:r>
    </w:p>
    <w:p>
      <w:pPr>
        <w:jc w:val="left"/>
      </w:pPr>
      <w:r>
        <w:t xml:space="preserve">(nachfolgend </w:t>
      </w:r>
      <w:r>
        <w:rPr>
          <w:b/>
        </w:rPr>
        <w:t>"Abnehmer"</w:t>
      </w:r>
      <w:r>
        <w:t>)</w:t>
      </w:r>
    </w:p>
    <w:p/>
    <w:p>
      <w:pPr>
        <w:pStyle w:val="Heading2"/>
      </w:pPr>
      <w:r>
        <w:rPr>
          <w:rFonts w:ascii="Times New Roman" w:hAnsi="Times New Roman"/>
        </w:rPr>
        <w:t>§ 1 – Vertragsgegenstand</w:t>
      </w:r>
    </w:p>
    <w:p>
      <w:pPr>
        <w:jc w:val="left"/>
      </w:pPr>
      <w:r>
        <w:t xml:space="preserve">(1) Der Lieferant verpflichtet sich, den Abnehmer an der Übergabestation im Gebäude </w:t>
      </w:r>
      <w:r>
        <w:rPr>
          <w:b/>
        </w:rPr>
        <w:t>[Gebäude, Adresse]</w:t>
      </w:r>
      <w:r>
        <w:t xml:space="preserve"> (nachfolgend "Lieferstelle") mit </w:t>
      </w:r>
      <w:r>
        <w:rPr>
          <w:b/>
        </w:rPr>
        <w:t>Nahwärme</w:t>
      </w:r>
      <w:r>
        <w:t xml:space="preserve"> (Heizwärme und Warmwasser) aus dem Nahwärmenetz Quartier Hafenbogen zu versorgen.</w:t>
      </w:r>
    </w:p>
    <w:p>
      <w:pPr>
        <w:jc w:val="left"/>
      </w:pPr>
      <w:r>
        <w:t>(2) Die Wärme wird über ein Fernwärmenetz mit einer Vorlauftemperatur von max. 70 °C und einer Rücklauftemperatur von min. 40 °C bereitgestellt. Der Lieferant strebt im Laufe des Betriebs eine Absenkung auf Niedertemperaturniveau (55/30 °C) an und informiert den Abnehmer rechtzeitig über geplante Temperaturänderungen.</w:t>
      </w:r>
    </w:p>
    <w:p>
      <w:pPr>
        <w:jc w:val="left"/>
      </w:pPr>
      <w:r>
        <w:t>(3) Die Wärme wird primär durch eine Großwärmepumpe (Grundwasserbetrieb, 1.200 kW) und ergänzend durch Gas-Spitzenlastkessel erzeugt. Der regenerative Anteil der Wärme beträgt zu Vertragsbeginn mindestens 70 % und soll bis 2030 auf mindestens 80 % steigen.</w:t>
      </w:r>
    </w:p>
    <w:p/>
    <w:p>
      <w:pPr>
        <w:pStyle w:val="Heading2"/>
      </w:pPr>
      <w:r>
        <w:rPr>
          <w:rFonts w:ascii="Times New Roman" w:hAnsi="Times New Roman"/>
        </w:rPr>
        <w:t>§ 2 – Vertragslaufzeit</w:t>
      </w:r>
    </w:p>
    <w:p>
      <w:pPr>
        <w:jc w:val="left"/>
      </w:pPr>
      <w:r>
        <w:t xml:space="preserve">(1) Der Vertrag beginnt am </w:t>
      </w:r>
      <w:r>
        <w:rPr>
          <w:b/>
        </w:rPr>
        <w:t>1. Januar 2027</w:t>
      </w:r>
      <w:r>
        <w:t xml:space="preserve"> und hat eine Festlaufzeit von </w:t>
      </w:r>
      <w:r>
        <w:rPr>
          <w:b/>
        </w:rPr>
        <w:t>15 Jahren</w:t>
      </w:r>
      <w:r>
        <w:t xml:space="preserve"> (bis 31. Dezember 2041). Er verlängert sich danach automatisch um jeweils 5 Jahre, sofern er nicht mit einer Frist von 12 Monaten zum Laufzeitende schriftlich gekündigt wird.</w:t>
      </w:r>
    </w:p>
    <w:p>
      <w:pPr>
        <w:jc w:val="left"/>
      </w:pPr>
      <w:r>
        <w:t xml:space="preserve">(2) Ein </w:t>
      </w:r>
      <w:r>
        <w:rPr>
          <w:b/>
        </w:rPr>
        <w:t>Sonderkündigungsrecht</w:t>
      </w:r>
      <w:r>
        <w:t xml:space="preserve"> steht dem Abnehmer zu, wenn der Lieferant die vereinbarte Wärmequalität dauerhaft (mehr als 30 Tage) unterschreitet und Abhilfe trotz schriftlicher Mahnung und Nachfrist von 4 Wochen nicht schafft, oder wenn der Abnehmer das Eigentum an der versorgten Liegenschaft veräußert und der Erwerber keinen Eintritt in den Vertrag erklärt.</w:t>
      </w:r>
    </w:p>
    <w:p/>
    <w:p>
      <w:pPr>
        <w:pStyle w:val="Heading2"/>
      </w:pPr>
      <w:r>
        <w:rPr>
          <w:rFonts w:ascii="Times New Roman" w:hAnsi="Times New Roman"/>
        </w:rPr>
        <w:t>§ 3 – Preise und Abrechnung</w:t>
      </w:r>
    </w:p>
    <w:p>
      <w:pPr>
        <w:jc w:val="left"/>
      </w:pPr>
      <w:r>
        <w:t xml:space="preserve">(1) </w:t>
      </w:r>
      <w:r>
        <w:rPr>
          <w:b/>
        </w:rPr>
        <w:t>Preisstruktur:</w:t>
      </w:r>
      <w:r>
        <w:t xml:space="preserve"> Der Wärmepreis setzt sich aus folgenden Bestandteilen zusammen: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Preisbestandteil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Indexbindung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Arbeitspreis Wärme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Cent/kWh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11,80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Erdgasindex (EX) 50 % + CPI 50 %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Grundpreis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EUR/kW/a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VPI 70 %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Messpreis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EUR/a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VPI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CO₂-Komponente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EUR/t CO₂-Äqu.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ETS-Preisindex</w:t>
            </w:r>
          </w:p>
        </w:tc>
      </w:tr>
    </w:tbl>
    <w:p>
      <w:pPr>
        <w:jc w:val="left"/>
      </w:pPr>
      <w:r>
        <w:t>Alle Preise verstehen sich netto, zzgl. der gesetzlichen Umsatzsteuer.</w:t>
      </w:r>
    </w:p>
    <w:p>
      <w:pPr>
        <w:jc w:val="left"/>
      </w:pPr>
      <w:r>
        <w:t xml:space="preserve">(2) </w:t>
      </w:r>
      <w:r>
        <w:rPr>
          <w:b/>
        </w:rPr>
        <w:t>Preisanpassungsformel:</w:t>
      </w:r>
      <w:r>
        <w:t xml:space="preserve"> Der Arbeitspreis wird halbjährlich (1. Januar und 1. Juli) nach der folgenden Formel angepasst:</w:t>
      </w:r>
    </w:p>
    <w:p>
      <w:pPr>
        <w:ind w:left="567"/>
      </w:pPr>
      <w:r>
        <w:rPr>
          <w:i/>
        </w:rPr>
        <w:t>AP_neu = AP_0 × (0,50 × EX_neu / EX_0 + 0,50 × CPI_neu / CPI_0)</w:t>
      </w:r>
    </w:p>
    <w:p>
      <w:pPr>
        <w:jc w:val="left"/>
      </w:pPr>
      <w:r>
        <w:t>wobei AP_0 = Arbeitspreis zum Vertragsbeginn; EX_neu, EX_0 = Erdgasindex (Quelle: BAFA, Gaspreiserhebung, Lieferanten­grenzpreis) zum Anpassungszeitpunkt bzw. Vertragsbeginn; CPI_neu, CPI_0 = Verbraucherpreisindex Gesamtdeutschland (Destatis) zum Anpassungszeitpunkt bzw. Vertragsbeginn.</w:t>
      </w:r>
    </w:p>
    <w:p>
      <w:pPr>
        <w:jc w:val="left"/>
      </w:pPr>
      <w:r>
        <w:t>Der Grundpreis wird jährlich (1. Januar) in Höhe von 70 % der prozentualen Änderung des Verbraucherpreisindex (VPI) angepasst.</w:t>
      </w:r>
    </w:p>
    <w:p>
      <w:pPr>
        <w:jc w:val="left"/>
      </w:pPr>
      <w:r>
        <w:t xml:space="preserve">(3) </w:t>
      </w:r>
      <w:r>
        <w:rPr>
          <w:b/>
        </w:rPr>
        <w:t>Transparenz und Mitteilung:</w:t>
      </w:r>
      <w:r>
        <w:t xml:space="preserve"> Der Lieferant teilt dem Abnehmer Preisanpassungen schriftlich mindestens 6 Wochen vor Wirksamkeit mit und legt die Berechnung offen (Angabe der Indexwerte und der Formel­anwendung). Bei Nichtmitteilung wird die Anpassung erst 6 Wochen nach ordnungsgemäßer Mitteilung wirksam.</w:t>
      </w:r>
    </w:p>
    <w:p>
      <w:pPr>
        <w:jc w:val="left"/>
      </w:pPr>
      <w:r>
        <w:t xml:space="preserve">(4) </w:t>
      </w:r>
      <w:r>
        <w:rPr>
          <w:b/>
        </w:rPr>
        <w:t>Sonderkündigung bei Preiserhöhung:</w:t>
      </w:r>
      <w:r>
        <w:t xml:space="preserve"> Überschreitet eine einzelne Preiserhöhung des Arbeitspreises 15 % gegenüber dem zuletzt gültigen Preis, steht dem Abnehmer ein Sonderkündigungsrecht mit 4-wöchiger Frist zu, das innerhalb von 4 Wochen nach Erhalt der Preismitteilung auszuüben ist.</w:t>
      </w:r>
    </w:p>
    <w:p>
      <w:pPr>
        <w:jc w:val="left"/>
      </w:pPr>
      <w:r>
        <w:t xml:space="preserve">(5) </w:t>
      </w:r>
      <w:r>
        <w:rPr>
          <w:b/>
        </w:rPr>
        <w:t>Abrechnung:</w:t>
      </w:r>
      <w:r>
        <w:t xml:space="preserve"> Die Abrechnung erfolgt jährlich. Monatliche Abschläge auf Basis des Vorjahresverbrauchs werden erhoben. Erstjahr: Schätzung gemäß Planbedarfsberechnung (Anlage 1).</w:t>
      </w:r>
    </w:p>
    <w:p/>
    <w:p>
      <w:pPr>
        <w:pStyle w:val="Heading2"/>
      </w:pPr>
      <w:r>
        <w:rPr>
          <w:rFonts w:ascii="Times New Roman" w:hAnsi="Times New Roman"/>
        </w:rPr>
        <w:t>§ 4 – Wärmelieferung, Qualität und Haftung</w:t>
      </w:r>
    </w:p>
    <w:p>
      <w:pPr>
        <w:jc w:val="left"/>
      </w:pPr>
      <w:r>
        <w:t xml:space="preserve">(1) Der Lieferant stellt die Wärme </w:t>
      </w:r>
      <w:r>
        <w:rPr>
          <w:b/>
        </w:rPr>
        <w:t>rund um die Uhr</w:t>
      </w:r>
      <w:r>
        <w:t xml:space="preserve"> zur Verfügung. Die zugesicherte Mindest­verfügbarkeit beträgt 99 % (Jahresbasis).</w:t>
      </w:r>
    </w:p>
    <w:p>
      <w:pPr>
        <w:jc w:val="left"/>
      </w:pPr>
      <w:r>
        <w:t>(2) Zur Qualität: Wärme­liefertemperatur am Übergabepunkt mindestens 65 °C (Vorlauf) bei Außentemperaturen bis −12 °C; Nenndruck max. 6 bar. Details in den Technischen Lieferbedingungen (Anlage 2).</w:t>
      </w:r>
    </w:p>
    <w:p>
      <w:pPr>
        <w:jc w:val="left"/>
      </w:pPr>
      <w:r>
        <w:t>(3) Der Lieferant haftet für Schäden, die durch fehlerhafte Wärmelieferung entstehen, nach den gesetzlichen Vorschriften, jedoch begrenzt auf 50.000 EUR pro Schadensereignis für mittelbare Schäden und entgangenen Gewinn.</w:t>
      </w:r>
    </w:p>
    <w:p/>
    <w:p>
      <w:pPr>
        <w:pStyle w:val="Heading2"/>
      </w:pPr>
      <w:r>
        <w:rPr>
          <w:rFonts w:ascii="Times New Roman" w:hAnsi="Times New Roman"/>
        </w:rPr>
        <w:t>§ 5 – Pflichten des Abnehmers</w:t>
      </w:r>
    </w:p>
    <w:p>
      <w:pPr>
        <w:jc w:val="left"/>
      </w:pPr>
      <w:r>
        <w:t>(1) Der Abnehmer stellt auf eigene Kosten eine geeignete Übergabestation (Wärmetauscher, Regelung) in seinem Gebäude bereit, die den Technischen Lieferbedingungen (Anlage 2) entspricht.</w:t>
      </w:r>
    </w:p>
    <w:p>
      <w:pPr>
        <w:jc w:val="left"/>
      </w:pPr>
      <w:r>
        <w:t>(2) Der Abnehmer sorgt für eine ordnungsgemäße Rücklauf­kühlung und hält die vereinbarte maximale Rücklauftemperatur ein. Bei Überschreitung der Rücklauftemperatur um mehr als 5 K kann der Lieferant eine Vertragsstrafe von 50 EUR/Tag erheben, bis der vertragsgemäße Zustand wiederhergestellt ist.</w:t>
      </w:r>
    </w:p>
    <w:p>
      <w:pPr>
        <w:jc w:val="left"/>
      </w:pPr>
      <w:r>
        <w:t>(3) Der Abnehmer gewährt dem Lieferanten und dessen Beauftragten Zugang zur Übergabestation zu üblichen Geschäftszeiten (mit 24-Stunden-Ankündigung) und im Störungsfall unverzüglich.</w:t>
      </w:r>
    </w:p>
    <w:p/>
    <w:p>
      <w:pPr>
        <w:pStyle w:val="Heading2"/>
      </w:pPr>
      <w:r>
        <w:rPr>
          <w:rFonts w:ascii="Times New Roman" w:hAnsi="Times New Roman"/>
        </w:rPr>
        <w:t>§ 6 – Schlussbestimmungen</w:t>
      </w:r>
    </w:p>
    <w:p>
      <w:pPr>
        <w:jc w:val="left"/>
      </w:pPr>
      <w:r>
        <w:t>(1) Es gilt das Recht der Bundesrepublik Deutschland. Gerichtsstand für Kaufleute: Münster.</w:t>
      </w:r>
    </w:p>
    <w:p>
      <w:pPr>
        <w:jc w:val="left"/>
      </w:pPr>
      <w:r>
        <w:t>(2) Änderungen und Ergänzungen bedürfen der Schriftform.</w:t>
      </w:r>
    </w:p>
    <w:p>
      <w:pPr>
        <w:jc w:val="left"/>
      </w:pPr>
      <w:r>
        <w:t>(3) Salvatorische Klausel: Unwirksame Klauseln werden durch wirksame mit gleichem wirtschaftlichem Zweck ersetzt.</w:t>
      </w:r>
    </w:p>
    <w:p>
      <w:pPr>
        <w:jc w:val="left"/>
      </w:pPr>
      <w:r>
        <w:t>(4) Hinweis: Die AVBFernwärmeV gilt ergänzend, soweit dieser Vertrag keine abweichenden Regelungen enthält.</w:t>
      </w:r>
    </w:p>
    <w:p/>
    <w:p>
      <w:pPr>
        <w:jc w:val="left"/>
      </w:pPr>
      <w:r>
        <w:rPr>
          <w:b/>
        </w:rPr>
        <w:t>Ort, Datum:</w:t>
      </w:r>
    </w:p>
    <w:p>
      <w:pPr>
        <w:jc w:val="left"/>
      </w:pPr>
      <w:r>
        <w:t>Lüdinghausen, den 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Lieferant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Abnehmer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Stadtwerke Klotzkette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[Name]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Gerda Wohlfahrt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________________________________</w:t>
            </w:r>
          </w:p>
        </w:tc>
      </w:tr>
    </w:tbl>
    <w:p/>
    <w:p>
      <w:pPr>
        <w:jc w:val="left"/>
      </w:pPr>
      <w:r>
        <w:rPr>
          <w:i/>
        </w:rPr>
        <w:t>Anlage 1: Planbedarfsberechnung Wärme (Erläuterung Jahresschätzung)</w:t>
      </w:r>
    </w:p>
    <w:p>
      <w:pPr>
        <w:jc w:val="left"/>
      </w:pPr>
      <w:r>
        <w:rPr>
          <w:i/>
        </w:rPr>
        <w:t>Anlage 2: Technische Lieferbedingungen Nahwärme Quartier Hafenbogen</w:t>
      </w:r>
    </w:p>
    <w:p>
      <w:pPr>
        <w:jc w:val="left"/>
      </w:pPr>
      <w:r>
        <w:rPr>
          <w:i/>
        </w:rPr>
        <w:t>Anlage 3: Übergabestationsplan (Schaltbild)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Stadtwerke Klotzkette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Stadtwerke Klotzkette AG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