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Due-Diligence-Findings Energierecht – Hafenbogen Energie GmbH &amp; Co. KG</w:t>
      </w:r>
    </w:p>
    <w:p>
      <w:pPr>
        <w:jc w:val="left"/>
      </w:pPr>
      <w:r>
        <w:rPr>
          <w:b/>
        </w:rPr>
        <w:t>Dokument-Nr.:</w:t>
      </w:r>
      <w:r>
        <w:t xml:space="preserve"> SWKK-DD-ENR-2026-01</w:t>
      </w:r>
    </w:p>
    <w:p>
      <w:pPr>
        <w:jc w:val="left"/>
      </w:pPr>
      <w:r>
        <w:rPr>
          <w:b/>
        </w:rPr>
        <w:t>Stand:</w:t>
      </w:r>
      <w:r>
        <w:t xml:space="preserve"> 31. Januar 2026 (Abschlussbericht, Entwurf)</w:t>
      </w:r>
    </w:p>
    <w:p>
      <w:pPr>
        <w:jc w:val="left"/>
      </w:pPr>
      <w:r>
        <w:rPr>
          <w:b/>
        </w:rPr>
        <w:t>Erstellt von:</w:t>
      </w:r>
      <w:r>
        <w:t xml:space="preserve"> Kanzlei Investor (Vogel &amp; Noot Rechtsanwälte PartGmbB, München), im Auftrag der Stadtwerke-Beteiligungsgesellschaft Bayern mbH</w:t>
      </w:r>
    </w:p>
    <w:p>
      <w:pPr>
        <w:jc w:val="left"/>
      </w:pPr>
      <w:r>
        <w:rPr>
          <w:b/>
        </w:rPr>
        <w:t>Vertraulichkeit:</w:t>
      </w:r>
      <w:r>
        <w:t xml:space="preserve"> Streng vertraulich – nur Parteien und Berater</w:t>
      </w:r>
    </w:p>
    <w:p/>
    <w:p>
      <w:pPr>
        <w:pStyle w:val="Heading2"/>
      </w:pPr>
      <w:r>
        <w:rPr>
          <w:rFonts w:ascii="Times New Roman" w:hAnsi="Times New Roman"/>
        </w:rPr>
        <w:t>Executive Summary</w:t>
      </w:r>
    </w:p>
    <w:p>
      <w:pPr>
        <w:jc w:val="left"/>
      </w:pPr>
      <w:r>
        <w:t>Die energierechtliche Due Diligence der Hafenbogen Energie GmbH &amp; Co. KG (Zielgesellschaft) hat folgende wesentliche Befunde ergeben: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Befund-Nr.</w:t>
            </w:r>
          </w:p>
        </w:tc>
        <w:tc>
          <w:tcPr>
            <w:tcW w:type="dxa" w:w="2268"/>
          </w:tcPr>
          <w:p>
            <w:r>
              <w:rPr>
                <w:rFonts w:ascii="Times New Roman" w:hAnsi="Times New Roman"/>
                <w:b/>
                <w:sz w:val="20"/>
              </w:rPr>
              <w:t>Thema</w:t>
            </w:r>
          </w:p>
        </w:tc>
        <w:tc>
          <w:tcPr>
            <w:tcW w:type="dxa" w:w="2268"/>
          </w:tcPr>
          <w:p>
            <w:r>
              <w:rPr>
                <w:rFonts w:ascii="Times New Roman" w:hAnsi="Times New Roman"/>
                <w:b/>
                <w:sz w:val="20"/>
              </w:rPr>
              <w:t>Risikostufe</w:t>
            </w:r>
          </w:p>
        </w:tc>
        <w:tc>
          <w:tcPr>
            <w:tcW w:type="dxa" w:w="2268"/>
          </w:tcPr>
          <w:p>
            <w:r>
              <w:rPr>
                <w:rFonts w:ascii="Times New Roman" w:hAnsi="Times New Roman"/>
                <w:b/>
                <w:sz w:val="20"/>
              </w:rPr>
              <w:t>Status</w:t>
            </w:r>
          </w:p>
        </w:tc>
      </w:tr>
      <w:tr>
        <w:tc>
          <w:tcPr>
            <w:tcW w:type="dxa" w:w="2268"/>
          </w:tcPr>
          <w:p>
            <w:r>
              <w:rPr>
                <w:rFonts w:ascii="Times New Roman" w:hAnsi="Times New Roman"/>
                <w:sz w:val="20"/>
              </w:rPr>
              <w:t>DD-01</w:t>
            </w:r>
          </w:p>
        </w:tc>
        <w:tc>
          <w:tcPr>
            <w:tcW w:type="dxa" w:w="2268"/>
          </w:tcPr>
          <w:p>
            <w:r>
              <w:rPr>
                <w:rFonts w:ascii="Times New Roman" w:hAnsi="Times New Roman"/>
                <w:sz w:val="20"/>
              </w:rPr>
              <w:t>PPA-Vertrag: fehlende Bilanzkreisverantwortung</w:t>
            </w:r>
          </w:p>
        </w:tc>
        <w:tc>
          <w:tcPr>
            <w:tcW w:type="dxa" w:w="2268"/>
          </w:tcPr>
          <w:p>
            <w:r>
              <w:rPr>
                <w:rFonts w:ascii="Times New Roman" w:hAnsi="Times New Roman"/>
                <w:b/>
                <w:sz w:val="20"/>
              </w:rPr>
              <w:t>Mittel</w:t>
            </w:r>
          </w:p>
        </w:tc>
        <w:tc>
          <w:tcPr>
            <w:tcW w:type="dxa" w:w="2268"/>
          </w:tcPr>
          <w:p>
            <w:r>
              <w:rPr>
                <w:rFonts w:ascii="Times New Roman" w:hAnsi="Times New Roman"/>
                <w:sz w:val="20"/>
              </w:rPr>
              <w:t>Offen</w:t>
            </w:r>
          </w:p>
        </w:tc>
      </w:tr>
      <w:tr>
        <w:tc>
          <w:tcPr>
            <w:tcW w:type="dxa" w:w="2268"/>
          </w:tcPr>
          <w:p>
            <w:r>
              <w:rPr>
                <w:rFonts w:ascii="Times New Roman" w:hAnsi="Times New Roman"/>
                <w:sz w:val="20"/>
              </w:rPr>
              <w:t>DD-02</w:t>
            </w:r>
          </w:p>
        </w:tc>
        <w:tc>
          <w:tcPr>
            <w:tcW w:type="dxa" w:w="2268"/>
          </w:tcPr>
          <w:p>
            <w:r>
              <w:rPr>
                <w:rFonts w:ascii="Times New Roman" w:hAnsi="Times New Roman"/>
                <w:sz w:val="20"/>
              </w:rPr>
              <w:t>BImSchG: Genehmigungsfrage Spitzenlastkessel</w:t>
            </w:r>
          </w:p>
        </w:tc>
        <w:tc>
          <w:tcPr>
            <w:tcW w:type="dxa" w:w="2268"/>
          </w:tcPr>
          <w:p>
            <w:r>
              <w:rPr>
                <w:rFonts w:ascii="Times New Roman" w:hAnsi="Times New Roman"/>
                <w:b/>
                <w:sz w:val="20"/>
              </w:rPr>
              <w:t>Niedrig</w:t>
            </w:r>
          </w:p>
        </w:tc>
        <w:tc>
          <w:tcPr>
            <w:tcW w:type="dxa" w:w="2268"/>
          </w:tcPr>
          <w:p>
            <w:r>
              <w:rPr>
                <w:rFonts w:ascii="Times New Roman" w:hAnsi="Times New Roman"/>
                <w:sz w:val="20"/>
              </w:rPr>
              <w:t>Erledigt (Bagatellschwelle)</w:t>
            </w:r>
          </w:p>
        </w:tc>
      </w:tr>
      <w:tr>
        <w:tc>
          <w:tcPr>
            <w:tcW w:type="dxa" w:w="2268"/>
          </w:tcPr>
          <w:p>
            <w:r>
              <w:rPr>
                <w:rFonts w:ascii="Times New Roman" w:hAnsi="Times New Roman"/>
                <w:sz w:val="20"/>
              </w:rPr>
              <w:t>DD-03</w:t>
            </w:r>
          </w:p>
        </w:tc>
        <w:tc>
          <w:tcPr>
            <w:tcW w:type="dxa" w:w="2268"/>
          </w:tcPr>
          <w:p>
            <w:r>
              <w:rPr>
                <w:rFonts w:ascii="Times New Roman" w:hAnsi="Times New Roman"/>
                <w:sz w:val="20"/>
              </w:rPr>
              <w:t>Wärmepreisanpassungsformel: Finalität offen</w:t>
            </w:r>
          </w:p>
        </w:tc>
        <w:tc>
          <w:tcPr>
            <w:tcW w:type="dxa" w:w="2268"/>
          </w:tcPr>
          <w:p>
            <w:r>
              <w:rPr>
                <w:rFonts w:ascii="Times New Roman" w:hAnsi="Times New Roman"/>
                <w:b/>
                <w:sz w:val="20"/>
              </w:rPr>
              <w:t>Mittel</w:t>
            </w:r>
          </w:p>
        </w:tc>
        <w:tc>
          <w:tcPr>
            <w:tcW w:type="dxa" w:w="2268"/>
          </w:tcPr>
          <w:p>
            <w:r>
              <w:rPr>
                <w:rFonts w:ascii="Times New Roman" w:hAnsi="Times New Roman"/>
                <w:sz w:val="20"/>
              </w:rPr>
              <w:t>In Klärung</w:t>
            </w:r>
          </w:p>
        </w:tc>
      </w:tr>
      <w:tr>
        <w:tc>
          <w:tcPr>
            <w:tcW w:type="dxa" w:w="2268"/>
          </w:tcPr>
          <w:p>
            <w:r>
              <w:rPr>
                <w:rFonts w:ascii="Times New Roman" w:hAnsi="Times New Roman"/>
                <w:sz w:val="20"/>
              </w:rPr>
              <w:t>DD-04</w:t>
            </w:r>
          </w:p>
        </w:tc>
        <w:tc>
          <w:tcPr>
            <w:tcW w:type="dxa" w:w="2268"/>
          </w:tcPr>
          <w:p>
            <w:r>
              <w:rPr>
                <w:rFonts w:ascii="Times New Roman" w:hAnsi="Times New Roman"/>
                <w:sz w:val="20"/>
              </w:rPr>
              <w:t>Netzanschlussangebot: Befristung 30.06.2026</w:t>
            </w:r>
          </w:p>
        </w:tc>
        <w:tc>
          <w:tcPr>
            <w:tcW w:type="dxa" w:w="2268"/>
          </w:tcPr>
          <w:p>
            <w:r>
              <w:rPr>
                <w:rFonts w:ascii="Times New Roman" w:hAnsi="Times New Roman"/>
                <w:b/>
                <w:sz w:val="20"/>
              </w:rPr>
              <w:t>Hoch</w:t>
            </w:r>
          </w:p>
        </w:tc>
        <w:tc>
          <w:tcPr>
            <w:tcW w:type="dxa" w:w="2268"/>
          </w:tcPr>
          <w:p>
            <w:r>
              <w:rPr>
                <w:rFonts w:ascii="Times New Roman" w:hAnsi="Times New Roman"/>
                <w:sz w:val="20"/>
              </w:rPr>
              <w:t>Aktionspunkt SWKK</w:t>
            </w:r>
          </w:p>
        </w:tc>
      </w:tr>
      <w:tr>
        <w:tc>
          <w:tcPr>
            <w:tcW w:type="dxa" w:w="2268"/>
          </w:tcPr>
          <w:p>
            <w:r>
              <w:rPr>
                <w:rFonts w:ascii="Times New Roman" w:hAnsi="Times New Roman"/>
                <w:sz w:val="20"/>
              </w:rPr>
              <w:t>DD-05</w:t>
            </w:r>
          </w:p>
        </w:tc>
        <w:tc>
          <w:tcPr>
            <w:tcW w:type="dxa" w:w="2268"/>
          </w:tcPr>
          <w:p>
            <w:r>
              <w:rPr>
                <w:rFonts w:ascii="Times New Roman" w:hAnsi="Times New Roman"/>
                <w:sz w:val="20"/>
              </w:rPr>
              <w:t>Mieterstromzuschlag: Antragsstellung nicht abgeschlossen</w:t>
            </w:r>
          </w:p>
        </w:tc>
        <w:tc>
          <w:tcPr>
            <w:tcW w:type="dxa" w:w="2268"/>
          </w:tcPr>
          <w:p>
            <w:r>
              <w:rPr>
                <w:rFonts w:ascii="Times New Roman" w:hAnsi="Times New Roman"/>
                <w:b/>
                <w:sz w:val="20"/>
              </w:rPr>
              <w:t>Mittel</w:t>
            </w:r>
          </w:p>
        </w:tc>
        <w:tc>
          <w:tcPr>
            <w:tcW w:type="dxa" w:w="2268"/>
          </w:tcPr>
          <w:p>
            <w:r>
              <w:rPr>
                <w:rFonts w:ascii="Times New Roman" w:hAnsi="Times New Roman"/>
                <w:sz w:val="20"/>
              </w:rPr>
              <w:t>In Bearbeitung</w:t>
            </w:r>
          </w:p>
        </w:tc>
      </w:tr>
      <w:tr>
        <w:tc>
          <w:tcPr>
            <w:tcW w:type="dxa" w:w="2268"/>
          </w:tcPr>
          <w:p>
            <w:r>
              <w:rPr>
                <w:rFonts w:ascii="Times New Roman" w:hAnsi="Times New Roman"/>
                <w:sz w:val="20"/>
              </w:rPr>
              <w:t>DD-06</w:t>
            </w:r>
          </w:p>
        </w:tc>
        <w:tc>
          <w:tcPr>
            <w:tcW w:type="dxa" w:w="2268"/>
          </w:tcPr>
          <w:p>
            <w:r>
              <w:rPr>
                <w:rFonts w:ascii="Times New Roman" w:hAnsi="Times New Roman"/>
                <w:sz w:val="20"/>
              </w:rPr>
              <w:t>Kundenanlage vs. GVN: Rechtsunsicherheit</w:t>
            </w:r>
          </w:p>
        </w:tc>
        <w:tc>
          <w:tcPr>
            <w:tcW w:type="dxa" w:w="2268"/>
          </w:tcPr>
          <w:p>
            <w:r>
              <w:rPr>
                <w:rFonts w:ascii="Times New Roman" w:hAnsi="Times New Roman"/>
                <w:b/>
                <w:sz w:val="20"/>
              </w:rPr>
              <w:t>Mittel</w:t>
            </w:r>
          </w:p>
        </w:tc>
        <w:tc>
          <w:tcPr>
            <w:tcW w:type="dxa" w:w="2268"/>
          </w:tcPr>
          <w:p>
            <w:r>
              <w:rPr>
                <w:rFonts w:ascii="Times New Roman" w:hAnsi="Times New Roman"/>
                <w:sz w:val="20"/>
              </w:rPr>
              <w:t>Abhängig von Planungsentscheidung</w:t>
            </w:r>
          </w:p>
        </w:tc>
      </w:tr>
      <w:tr>
        <w:tc>
          <w:tcPr>
            <w:tcW w:type="dxa" w:w="2268"/>
          </w:tcPr>
          <w:p>
            <w:r>
              <w:rPr>
                <w:rFonts w:ascii="Times New Roman" w:hAnsi="Times New Roman"/>
                <w:sz w:val="20"/>
              </w:rPr>
              <w:t>DD-07</w:t>
            </w:r>
          </w:p>
        </w:tc>
        <w:tc>
          <w:tcPr>
            <w:tcW w:type="dxa" w:w="2268"/>
          </w:tcPr>
          <w:p>
            <w:r>
              <w:rPr>
                <w:rFonts w:ascii="Times New Roman" w:hAnsi="Times New Roman"/>
                <w:sz w:val="20"/>
              </w:rPr>
              <w:t>KfW-Bewilligung: Noch nicht final erteilt</w:t>
            </w:r>
          </w:p>
        </w:tc>
        <w:tc>
          <w:tcPr>
            <w:tcW w:type="dxa" w:w="2268"/>
          </w:tcPr>
          <w:p>
            <w:r>
              <w:rPr>
                <w:rFonts w:ascii="Times New Roman" w:hAnsi="Times New Roman"/>
                <w:b/>
                <w:sz w:val="20"/>
              </w:rPr>
              <w:t>Mittel</w:t>
            </w:r>
          </w:p>
        </w:tc>
        <w:tc>
          <w:tcPr>
            <w:tcW w:type="dxa" w:w="2268"/>
          </w:tcPr>
          <w:p>
            <w:r>
              <w:rPr>
                <w:rFonts w:ascii="Times New Roman" w:hAnsi="Times New Roman"/>
                <w:sz w:val="20"/>
              </w:rPr>
              <w:t>Erwartete Entscheidung Q2 2026</w:t>
            </w:r>
          </w:p>
        </w:tc>
      </w:tr>
      <w:tr>
        <w:tc>
          <w:tcPr>
            <w:tcW w:type="dxa" w:w="2268"/>
          </w:tcPr>
          <w:p>
            <w:r>
              <w:rPr>
                <w:rFonts w:ascii="Times New Roman" w:hAnsi="Times New Roman"/>
                <w:sz w:val="20"/>
              </w:rPr>
              <w:t>DD-08</w:t>
            </w:r>
          </w:p>
        </w:tc>
        <w:tc>
          <w:tcPr>
            <w:tcW w:type="dxa" w:w="2268"/>
          </w:tcPr>
          <w:p>
            <w:r>
              <w:rPr>
                <w:rFonts w:ascii="Times New Roman" w:hAnsi="Times New Roman"/>
                <w:sz w:val="20"/>
              </w:rPr>
              <w:t>BNetzA-Bescheid Wärmeleitung: Fristsache</w:t>
            </w:r>
          </w:p>
        </w:tc>
        <w:tc>
          <w:tcPr>
            <w:tcW w:type="dxa" w:w="2268"/>
          </w:tcPr>
          <w:p>
            <w:r>
              <w:rPr>
                <w:rFonts w:ascii="Times New Roman" w:hAnsi="Times New Roman"/>
                <w:b/>
                <w:sz w:val="20"/>
              </w:rPr>
              <w:t>Hoch</w:t>
            </w:r>
          </w:p>
        </w:tc>
        <w:tc>
          <w:tcPr>
            <w:tcW w:type="dxa" w:w="2268"/>
          </w:tcPr>
          <w:p>
            <w:r>
              <w:rPr>
                <w:rFonts w:ascii="Times New Roman" w:hAnsi="Times New Roman"/>
                <w:sz w:val="20"/>
              </w:rPr>
              <w:t>Stellungnahme fällig 08.06.2026</w:t>
            </w:r>
          </w:p>
        </w:tc>
      </w:tr>
    </w:tbl>
    <w:p>
      <w:pPr>
        <w:jc w:val="left"/>
      </w:pPr>
      <w:r>
        <w:rPr>
          <w:b/>
        </w:rPr>
        <w:t>Gesamteinschätzung:</w:t>
      </w:r>
      <w:r>
        <w:t xml:space="preserve"> Das Projekt ist energierechtlich grundsätzlich tragfähig. Die offenen Punkte DD-04 und DD-08 sind zeitkritisch und müssen vor Closing beseitigt sein. DD-01 und DD-03 sind vertraglich über Garantien abzusichern.</w:t>
      </w:r>
    </w:p>
    <w:p/>
    <w:p>
      <w:pPr>
        <w:pStyle w:val="Heading2"/>
      </w:pPr>
      <w:r>
        <w:rPr>
          <w:rFonts w:ascii="Times New Roman" w:hAnsi="Times New Roman"/>
        </w:rPr>
        <w:t>Detailbefunde</w:t>
      </w:r>
    </w:p>
    <w:p>
      <w:pPr>
        <w:pStyle w:val="Heading3"/>
      </w:pPr>
      <w:r>
        <w:rPr>
          <w:rFonts w:ascii="Times New Roman" w:hAnsi="Times New Roman"/>
        </w:rPr>
        <w:t>DD-01: PPA-Entwurf – Bilanzkreisverantwortung</w:t>
      </w:r>
    </w:p>
    <w:p>
      <w:pPr>
        <w:jc w:val="left"/>
      </w:pPr>
      <w:r>
        <w:rPr>
          <w:b/>
        </w:rPr>
        <w:t>Sachverhalt:</w:t>
      </w:r>
      <w:r>
        <w:t xml:space="preserve"> Der vorliegende PPA-Entwurf (Direktvermarktungsvertrag mit EnPremium GmbH, Vertrag 15.04.2025) enthält keine klare Regelung zur Übernahme der Bilanzkreisverantwortung für die eingespeisten PV-Mengen. § 4 Abs. 2 PPA lautet: "Die Bilanzkreisverantwortung richtet sich nach den jeweils anwendbaren gesetzlichen und regulatorischen Vorgaben." Diese Formulierung ist unzureichend.</w:t>
      </w:r>
    </w:p>
    <w:p>
      <w:pPr>
        <w:jc w:val="left"/>
      </w:pPr>
      <w:r>
        <w:rPr>
          <w:b/>
        </w:rPr>
        <w:t>Risiko:</w:t>
      </w:r>
      <w:r>
        <w:t xml:space="preserve"> Nach § 4 Abs. 2 StromNZV ist der Anlagenbetreiber für die Einspeisung in den ihm zugewiesenen Bilanzkreis verantwortlich. Fehlt eine klare BKV-Übertragung an EnPremium GmbH, kann die Zielgesellschaft als Bilanzkreisverantwortliche für Ausgleichsenergiekosten herangezogen werden (Ausgleichsenergie: typisch 5–20 EUR/MWh Abweichungskosten).</w:t>
      </w:r>
    </w:p>
    <w:p>
      <w:pPr>
        <w:jc w:val="left"/>
      </w:pPr>
      <w:r>
        <w:rPr>
          <w:b/>
        </w:rPr>
        <w:t>Empfehlung:</w:t>
      </w:r>
      <w:r>
        <w:t xml:space="preserve"> PPA-Nachtrag vereinbaren, der die vollständige BKV-Übernahme durch EnPremium GmbH für alle eingespeisten Mengen ausdrücklich regelt. Garantie von SWKK: PPA-Nachtrag vor Closing unterzeichnet.</w:t>
      </w:r>
    </w:p>
    <w:p/>
    <w:p>
      <w:pPr>
        <w:pStyle w:val="Heading3"/>
      </w:pPr>
      <w:r>
        <w:rPr>
          <w:rFonts w:ascii="Times New Roman" w:hAnsi="Times New Roman"/>
        </w:rPr>
        <w:t>DD-02: BImSchG – Spitzenlastkessel</w:t>
      </w:r>
    </w:p>
    <w:p>
      <w:pPr>
        <w:jc w:val="left"/>
      </w:pPr>
      <w:r>
        <w:rPr>
          <w:b/>
        </w:rPr>
        <w:t>Sachverhalt:</w:t>
      </w:r>
      <w:r>
        <w:t xml:space="preserve"> Die zwei Gas-Spitzenlastkessel (je 600 kW) wurden anfänglich als potenziell genehmigungsbedürftig nach dem BImSchG (Nr. 1.4 Anhang 1 der 4. BImSchV) eingestuft.</w:t>
      </w:r>
    </w:p>
    <w:p>
      <w:pPr>
        <w:jc w:val="left"/>
      </w:pPr>
      <w:r>
        <w:rPr>
          <w:b/>
        </w:rPr>
        <w:t>Prüfungsergebnis:</w:t>
      </w:r>
      <w:r>
        <w:t xml:space="preserve"> Gemäß Nr. 1.4 Anhang 1 der 4. BImSchV (Stand: 2022) unterliegen Feuerungsanlagen für gasförmige Brennstoffe erst ab einer Feuerungswärmeleistung von </w:t>
      </w:r>
      <w:r>
        <w:rPr>
          <w:b/>
        </w:rPr>
        <w:t>1 MW</w:t>
      </w:r>
      <w:r>
        <w:t xml:space="preserve"> der Genehmigungspflicht. Da jeder Kessel eine Nennwärmeleistung von 600 kW hat (&lt; 1 MW), sind beide Kessel genehmigungsfrei (nur anzeigepflichtig nach Baurecht). Befund geschlossen.</w:t>
      </w:r>
    </w:p>
    <w:p>
      <w:pPr>
        <w:jc w:val="left"/>
      </w:pPr>
      <w:r>
        <w:rPr>
          <w:b/>
        </w:rPr>
        <w:t>Status:</w:t>
      </w:r>
      <w:r>
        <w:t xml:space="preserve"> Erledigt. Kein Handlungsbedarf.</w:t>
      </w:r>
    </w:p>
    <w:p/>
    <w:p>
      <w:pPr>
        <w:pStyle w:val="Heading3"/>
      </w:pPr>
      <w:r>
        <w:rPr>
          <w:rFonts w:ascii="Times New Roman" w:hAnsi="Times New Roman"/>
        </w:rPr>
        <w:t>DD-03: Wärmepreisanpassungsformel</w:t>
      </w:r>
    </w:p>
    <w:p>
      <w:pPr>
        <w:jc w:val="left"/>
      </w:pPr>
      <w:r>
        <w:rPr>
          <w:b/>
        </w:rPr>
        <w:t>Sachverhalt:</w:t>
      </w:r>
      <w:r>
        <w:t xml:space="preserve"> Der Wärmeliefervertrag (Entwurf, Anlage im Datenraum) enthält eine Preisanpassungsformel mit einem Erdgasindex-Anteil von 50 % und einem VPI-Anteil von 50 %. Die Formel ist inhaltlich plausibel; die Indexquellen sind jedoch nicht vollständig definiert (fehlender Verweis auf konkrete Destatis-Tabelle und BAFA-Datenreihe).</w:t>
      </w:r>
    </w:p>
    <w:p>
      <w:pPr>
        <w:jc w:val="left"/>
      </w:pPr>
      <w:r>
        <w:rPr>
          <w:b/>
        </w:rPr>
        <w:t>Risiko:</w:t>
      </w:r>
      <w:r>
        <w:t xml:space="preserve"> Ohne präzise Indexdefinition ist die Klausel nach BGH-Rechtsprechung (BGH VIII ZR 51/13: Anforderungen an Bestimmtheit von Preisanpassungsklauseln in Wärmelieferverträgen) möglicherweise unwirksam. Dies würde den Lieferanten auf den bei Vertragsschluss vereinbarten Festpreis festlegen – bei steigenden Kosten ein erhebliches wirtschaftliches Risiko.</w:t>
      </w:r>
    </w:p>
    <w:p>
      <w:pPr>
        <w:jc w:val="left"/>
      </w:pPr>
      <w:r>
        <w:rPr>
          <w:b/>
        </w:rPr>
        <w:t>Empfehlung:</w:t>
      </w:r>
      <w:r>
        <w:t xml:space="preserve"> Vertrag vor Closing finalisieren; Indexquellen präzise benennen (Destatis-Tabelle 61111-0004, BAFA-Gaspreiserhebung Lieferantengrenzpreise). Garantie von SWKK: Wärmeliefervertrag vor Closing rechtssicher ausgefertigt.</w:t>
      </w:r>
    </w:p>
    <w:p/>
    <w:p>
      <w:pPr>
        <w:pStyle w:val="Heading3"/>
      </w:pPr>
      <w:r>
        <w:rPr>
          <w:rFonts w:ascii="Times New Roman" w:hAnsi="Times New Roman"/>
        </w:rPr>
        <w:t>DD-04: Netzanschlussangebot – Befristung 30.06.2026</w:t>
      </w:r>
    </w:p>
    <w:p>
      <w:pPr>
        <w:jc w:val="left"/>
      </w:pPr>
      <w:r>
        <w:rPr>
          <w:b/>
        </w:rPr>
        <w:t>Sachverhalt:</w:t>
      </w:r>
      <w:r>
        <w:t xml:space="preserve"> Das vorliegende Netzanschlussangebot der Netzgesellschaft Westfalen GmbH (Az. NGW/NANS/2025-0038, 07.01.2025) ist bis zum 30. Juni 2026 befristet. Das geplante Closing ist ebenfalls für den 30. Juni 2026 vorgesehen.</w:t>
      </w:r>
    </w:p>
    <w:p>
      <w:pPr>
        <w:jc w:val="left"/>
      </w:pPr>
      <w:r>
        <w:rPr>
          <w:b/>
        </w:rPr>
        <w:t>Risiko:</w:t>
      </w:r>
      <w:r>
        <w:t xml:space="preserve"> Nimmt SWKK das Angebot nicht rechtzeitig an oder wird das Closing verzögert, erlischt das Angebot. Ein neues Angebot wäre unter Umständen zu schlechteren Konditionen (höhere BKZ, andere Trassenlösung, längere Realisierungszeit) zu erwarten.</w:t>
      </w:r>
    </w:p>
    <w:p>
      <w:pPr>
        <w:jc w:val="left"/>
      </w:pPr>
      <w:r>
        <w:rPr>
          <w:b/>
        </w:rPr>
        <w:t>Empfehlung:</w:t>
      </w:r>
      <w:r>
        <w:t xml:space="preserve"> SWKK muss das Netzanschlussangebot unverzüglich annehmen (unabhängig vom Closing-Zeitplan). Die Annahme des Angebots sollte als Closing-Condition (CP) aufgenommen werden. Aktionsplan: Angebotsannahme spätestens 28.02.2026.</w:t>
      </w:r>
    </w:p>
    <w:p>
      <w:pPr>
        <w:jc w:val="left"/>
      </w:pPr>
      <w:r>
        <w:rPr>
          <w:b/>
        </w:rPr>
        <w:t>Status:</w:t>
      </w:r>
      <w:r>
        <w:t xml:space="preserve"> Hochpriorität – SWKK ist informiert; Entscheidung über Annahme ausstehend.</w:t>
      </w:r>
    </w:p>
    <w:p/>
    <w:p>
      <w:pPr>
        <w:pStyle w:val="Heading3"/>
      </w:pPr>
      <w:r>
        <w:rPr>
          <w:rFonts w:ascii="Times New Roman" w:hAnsi="Times New Roman"/>
        </w:rPr>
        <w:t>DD-05: Mieterstromzuschlag</w:t>
      </w:r>
    </w:p>
    <w:p>
      <w:pPr>
        <w:jc w:val="left"/>
      </w:pPr>
      <w:r>
        <w:rPr>
          <w:b/>
        </w:rPr>
        <w:t>Sachverhalt:</w:t>
      </w:r>
      <w:r>
        <w:t xml:space="preserve"> Die fünf PV-Teilanlagen wurden im Marktstammdaten­register vorangemeldet (MSR-IDs: MSR-2026-44812 bis -44816). Der förmliche Antrag auf Mieterstromzuschlag nach § 21 Abs. 3 EEG 2023 ist noch nicht abschließend bei der Bundesnetzagentur eingereicht.</w:t>
      </w:r>
    </w:p>
    <w:p>
      <w:pPr>
        <w:jc w:val="left"/>
      </w:pPr>
      <w:r>
        <w:rPr>
          <w:b/>
        </w:rPr>
        <w:t>Risiko:</w:t>
      </w:r>
      <w:r>
        <w:t xml:space="preserve"> Ohne bewilligten Mieterstromzuschlag fehlt ein wesentlicher Erlösbaustein des Wirtschaftlichkeitsmodells (ca. 4,0 Cent/kWh × 600 MWh/a = ca. 24.000 EUR/a je Anlage × 5 = ca. 120.000 EUR/a). Bei Verweigerung des Zuschlags (z.B. wegen Fristversäumnis nach Inbetriebnahme) würde das IRR-Ergebnis um ca. 1,2 Prozentpunkte sinken.</w:t>
      </w:r>
    </w:p>
    <w:p>
      <w:pPr>
        <w:jc w:val="left"/>
      </w:pPr>
      <w:r>
        <w:rPr>
          <w:b/>
        </w:rPr>
        <w:t>Empfehlung:</w:t>
      </w:r>
      <w:r>
        <w:t xml:space="preserve"> Antrag auf Mieterstromzuschlag nach Inbetriebnahme (31.12.2026) unverzüglich einreichen (Frist: 3 Monate nach Inbetriebnahme, § 21 Abs. 3 S. 5 EEG 2023). Garantie von SWKK: Antrag wird fristgerecht eingereicht.</w:t>
      </w:r>
    </w:p>
    <w:p/>
    <w:p>
      <w:pPr>
        <w:pStyle w:val="Heading3"/>
      </w:pPr>
      <w:r>
        <w:rPr>
          <w:rFonts w:ascii="Times New Roman" w:hAnsi="Times New Roman"/>
        </w:rPr>
        <w:t>DD-06: Kundenanlage vs. GVN</w:t>
      </w:r>
    </w:p>
    <w:p>
      <w:pPr>
        <w:jc w:val="left"/>
      </w:pPr>
      <w:r>
        <w:rPr>
          <w:b/>
        </w:rPr>
        <w:t>Sachverhalt:</w:t>
      </w:r>
      <w:r>
        <w:t xml:space="preserve"> Für die Versorgung der Hafenbogen Logistik GmbH (Industriekunde) ist die regulatorische Einordnung (Kundenanlage, GVN, reguliertes Netz) noch offen (vgl. Rechtsvermerk Kanzlei Bernauer &amp; Partnerinnen, Datenraum Ordner 3.2).</w:t>
      </w:r>
    </w:p>
    <w:p>
      <w:pPr>
        <w:jc w:val="left"/>
      </w:pPr>
      <w:r>
        <w:rPr>
          <w:b/>
        </w:rPr>
        <w:t>Risiko:</w:t>
      </w:r>
      <w:r>
        <w:t xml:space="preserve"> Wenn die Versorgung über ein als reguliertes Netz einzuordnendes Leitungssystem erfolgt, hat die Zielgesellschaft Netzbetreiberpflichten (Entflechtung, Regulierung), die nicht im Wirtschaftlichkeitsmodell abgebildet sind.</w:t>
      </w:r>
    </w:p>
    <w:p>
      <w:pPr>
        <w:jc w:val="left"/>
      </w:pPr>
      <w:r>
        <w:rPr>
          <w:b/>
        </w:rPr>
        <w:t>Empfehlung:</w:t>
      </w:r>
      <w:r>
        <w:t xml:space="preserve"> Entscheidung über Trassenalternative (private Trasse ohne Straßenquerung) bis Closing treffen. Bis zur abschließenden Klärung: Garantie von SWKK, dass keine regulierten Netzkosten unvorhergesehen auf die Zielgesellschaft zukommen.</w:t>
      </w:r>
    </w:p>
    <w:p/>
    <w:p>
      <w:pPr>
        <w:pStyle w:val="Heading3"/>
      </w:pPr>
      <w:r>
        <w:rPr>
          <w:rFonts w:ascii="Times New Roman" w:hAnsi="Times New Roman"/>
        </w:rPr>
        <w:t>DD-07: KfW-Bewilligung</w:t>
      </w:r>
    </w:p>
    <w:p>
      <w:pPr>
        <w:jc w:val="left"/>
      </w:pPr>
      <w:r>
        <w:rPr>
          <w:b/>
        </w:rPr>
        <w:t>Sachverhalt:</w:t>
      </w:r>
      <w:r>
        <w:t xml:space="preserve"> Der KfW-Förderantrag für Programm 442 und Programm 270 wurde eingereicht; die Bewilligung steht noch aus (erwartete Entscheidung: Q2 2026).</w:t>
      </w:r>
    </w:p>
    <w:p>
      <w:pPr>
        <w:jc w:val="left"/>
      </w:pPr>
      <w:r>
        <w:rPr>
          <w:b/>
        </w:rPr>
        <w:t>Risiko:</w:t>
      </w:r>
      <w:r>
        <w:t xml:space="preserve"> Bei Nicht-Bewilligung oder reduzierter Förderhöhe steigt der Finanzierungsbedarf aus Eigenkapital oder teurem Fremdkapital. Dies würde den Kaufpreis des Investors beeinflussen.</w:t>
      </w:r>
    </w:p>
    <w:p>
      <w:pPr>
        <w:jc w:val="left"/>
      </w:pPr>
      <w:r>
        <w:rPr>
          <w:b/>
        </w:rPr>
        <w:t>Empfehlung:</w:t>
      </w:r>
      <w:r>
        <w:t xml:space="preserve"> Kaufpreisanpassungsklausel für den Fall der Nicht-Bewilligung vereinbaren (Reduktion Kaufpreis um maximal 5 % des vereinbarten Kaufpreises, entsprechend ca. 178.000 EUR).</w:t>
      </w:r>
    </w:p>
    <w:p/>
    <w:p>
      <w:pPr>
        <w:pStyle w:val="Heading3"/>
      </w:pPr>
      <w:r>
        <w:rPr>
          <w:rFonts w:ascii="Times New Roman" w:hAnsi="Times New Roman"/>
        </w:rPr>
        <w:t>DD-08: BNetzA-Bescheid Wärmeleitung – Fristsache</w:t>
      </w:r>
    </w:p>
    <w:p>
      <w:pPr>
        <w:jc w:val="left"/>
      </w:pPr>
      <w:r>
        <w:rPr>
          <w:b/>
        </w:rPr>
        <w:t>Sachverhalt:</w:t>
      </w:r>
      <w:r>
        <w:t xml:space="preserve"> Mit Bescheid vom 06.05.2026 (Az. 8615-EnW/0193/2026) hat die Bundesnetzagentur ergänzende Unterlagen zur geplanten Wärmeleitung im öffentlichen Straßenraum angefordert. Frist: 08.06.2026.</w:t>
      </w:r>
    </w:p>
    <w:p>
      <w:pPr>
        <w:jc w:val="left"/>
      </w:pPr>
      <w:r>
        <w:rPr>
          <w:b/>
        </w:rPr>
        <w:t>Risiko:</w:t>
      </w:r>
      <w:r>
        <w:t xml:space="preserve"> Bei Nicht-Fristwahrung oder bei behördlich angeordnetem Betriebsstopp für die Wärmetrasse würde das Nahwärmenetz nicht in Betrieb genommen werden können. Dies wäre ein Material Adverse Change, der das Closing blockiert.</w:t>
      </w:r>
    </w:p>
    <w:p>
      <w:pPr>
        <w:jc w:val="left"/>
      </w:pPr>
      <w:r>
        <w:rPr>
          <w:b/>
        </w:rPr>
        <w:t>Empfehlung:</w:t>
      </w:r>
      <w:r>
        <w:t xml:space="preserve"> Sofortmaßnahme: Kanzlei Bernauer erstellt Stellungnahme mit vollständigen Unterlagen. Closing-Condition: Bescheid muss vor Closing formell erledigt (positiv abgeschlossen oder Widerspruch eingelegt mit aufschiebender Wirkung) sein. Details: Akte 07_verfahren.</w:t>
      </w:r>
    </w:p>
    <w:p/>
    <w:p>
      <w:pPr>
        <w:pStyle w:val="Heading2"/>
      </w:pPr>
      <w:r>
        <w:rPr>
          <w:rFonts w:ascii="Times New Roman" w:hAnsi="Times New Roman"/>
        </w:rPr>
        <w:t>Anhang: Offene Datenpunkte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Dokument</w:t>
            </w:r>
          </w:p>
        </w:tc>
        <w:tc>
          <w:tcPr>
            <w:tcW w:type="dxa" w:w="3024"/>
          </w:tcPr>
          <w:p>
            <w:r>
              <w:rPr>
                <w:rFonts w:ascii="Times New Roman" w:hAnsi="Times New Roman"/>
                <w:b/>
                <w:sz w:val="20"/>
              </w:rPr>
              <w:t>Status im Datenraum</w:t>
            </w:r>
          </w:p>
        </w:tc>
      </w:tr>
      <w:tr>
        <w:tc>
          <w:tcPr>
            <w:tcW w:type="dxa" w:w="3024"/>
          </w:tcPr>
          <w:p>
            <w:r>
              <w:rPr>
                <w:rFonts w:ascii="Times New Roman" w:hAnsi="Times New Roman"/>
                <w:sz w:val="20"/>
              </w:rPr>
              <w:t>1</w:t>
            </w:r>
          </w:p>
        </w:tc>
        <w:tc>
          <w:tcPr>
            <w:tcW w:type="dxa" w:w="3024"/>
          </w:tcPr>
          <w:p>
            <w:r>
              <w:rPr>
                <w:rFonts w:ascii="Times New Roman" w:hAnsi="Times New Roman"/>
                <w:sz w:val="20"/>
              </w:rPr>
              <w:t>Finaler Wärmeliefervertrag</w:t>
            </w:r>
          </w:p>
        </w:tc>
        <w:tc>
          <w:tcPr>
            <w:tcW w:type="dxa" w:w="3024"/>
          </w:tcPr>
          <w:p>
            <w:r>
              <w:rPr>
                <w:rFonts w:ascii="Times New Roman" w:hAnsi="Times New Roman"/>
                <w:sz w:val="20"/>
              </w:rPr>
              <w:t>Entwurf vorhanden; Finale ausstehend</w:t>
            </w:r>
          </w:p>
        </w:tc>
      </w:tr>
      <w:tr>
        <w:tc>
          <w:tcPr>
            <w:tcW w:type="dxa" w:w="3024"/>
          </w:tcPr>
          <w:p>
            <w:r>
              <w:rPr>
                <w:rFonts w:ascii="Times New Roman" w:hAnsi="Times New Roman"/>
                <w:sz w:val="20"/>
              </w:rPr>
              <w:t>2</w:t>
            </w:r>
          </w:p>
        </w:tc>
        <w:tc>
          <w:tcPr>
            <w:tcW w:type="dxa" w:w="3024"/>
          </w:tcPr>
          <w:p>
            <w:r>
              <w:rPr>
                <w:rFonts w:ascii="Times New Roman" w:hAnsi="Times New Roman"/>
                <w:sz w:val="20"/>
              </w:rPr>
              <w:t>PPA-Nachtrag BKV</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3</w:t>
            </w:r>
          </w:p>
        </w:tc>
        <w:tc>
          <w:tcPr>
            <w:tcW w:type="dxa" w:w="3024"/>
          </w:tcPr>
          <w:p>
            <w:r>
              <w:rPr>
                <w:rFonts w:ascii="Times New Roman" w:hAnsi="Times New Roman"/>
                <w:sz w:val="20"/>
              </w:rPr>
              <w:t>KfW-Bewilligungsbescheid</w:t>
            </w:r>
          </w:p>
        </w:tc>
        <w:tc>
          <w:tcPr>
            <w:tcW w:type="dxa" w:w="3024"/>
          </w:tcPr>
          <w:p>
            <w:r>
              <w:rPr>
                <w:rFonts w:ascii="Times New Roman" w:hAnsi="Times New Roman"/>
                <w:sz w:val="20"/>
              </w:rPr>
              <w:t>Nicht vorhanden (Antrag eingereicht)</w:t>
            </w:r>
          </w:p>
        </w:tc>
      </w:tr>
      <w:tr>
        <w:tc>
          <w:tcPr>
            <w:tcW w:type="dxa" w:w="3024"/>
          </w:tcPr>
          <w:p>
            <w:r>
              <w:rPr>
                <w:rFonts w:ascii="Times New Roman" w:hAnsi="Times New Roman"/>
                <w:sz w:val="20"/>
              </w:rPr>
              <w:t>4</w:t>
            </w:r>
          </w:p>
        </w:tc>
        <w:tc>
          <w:tcPr>
            <w:tcW w:type="dxa" w:w="3024"/>
          </w:tcPr>
          <w:p>
            <w:r>
              <w:rPr>
                <w:rFonts w:ascii="Times New Roman" w:hAnsi="Times New Roman"/>
                <w:sz w:val="20"/>
              </w:rPr>
              <w:t>Mieterstrom-Antragsbestätigung BNetzA</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5</w:t>
            </w:r>
          </w:p>
        </w:tc>
        <w:tc>
          <w:tcPr>
            <w:tcW w:type="dxa" w:w="3024"/>
          </w:tcPr>
          <w:p>
            <w:r>
              <w:rPr>
                <w:rFonts w:ascii="Times New Roman" w:hAnsi="Times New Roman"/>
                <w:sz w:val="20"/>
              </w:rPr>
              <w:t>BNetzA-Stellungnahme Wärmeleitung</w:t>
            </w:r>
          </w:p>
        </w:tc>
        <w:tc>
          <w:tcPr>
            <w:tcW w:type="dxa" w:w="3024"/>
          </w:tcPr>
          <w:p>
            <w:r>
              <w:rPr>
                <w:rFonts w:ascii="Times New Roman" w:hAnsi="Times New Roman"/>
                <w:sz w:val="20"/>
              </w:rPr>
              <w:t>Nicht vorhanden (Frist läuft)</w:t>
            </w:r>
          </w:p>
        </w:tc>
      </w:tr>
    </w:tbl>
    <w:p/>
    <w:p>
      <w:pPr>
        <w:jc w:val="left"/>
      </w:pPr>
      <w:r>
        <w:rPr>
          <w:i/>
        </w:rPr>
        <w:t>München / Lüdinghausen, 31. Januar 2026. Streng vertraulich.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Hafenbogen Energie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Hafenbogen Energie GmbH &amp; Co. KG</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