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Schreiben der Gemeinde</w:t>
      </w:r>
    </w:p>
    <w:p>
      <w:pPr>
        <w:jc w:val="left"/>
      </w:pPr>
      <w:r>
        <w:t>Die Gemeinde Lindenwerder weist darauf hin, dass der Erbbauzins für Q3/2025 und Q1/2026 verspätet einging. Die erneute Verzögerung im Mai 2026 wird als schwerwiegende Pflichtverletzung gewertet.</w:t>
      </w:r>
    </w:p>
    <w:p>
      <w:pPr>
        <w:jc w:val="left"/>
      </w:pPr>
      <w:r>
        <w:t>Vor einer Zustimmung zur weiteren Belastung verlangt die Gemeinde:</w:t>
      </w:r>
    </w:p>
    <w:p>
      <w:pPr>
        <w:pStyle w:val="ListNumber"/>
      </w:pPr>
      <w:r>
        <w:t>vollständige Zahlung aller Rückstände,</w:t>
      </w:r>
    </w:p>
    <w:p>
      <w:pPr>
        <w:pStyle w:val="ListNumber"/>
      </w:pPr>
      <w:r>
        <w:t>Nachweis der Förderzusage,</w:t>
      </w:r>
    </w:p>
    <w:p>
      <w:pPr>
        <w:pStyle w:val="ListNumber"/>
      </w:pPr>
      <w:r>
        <w:t>Brandschutz- und PV-Konzept,</w:t>
      </w:r>
    </w:p>
    <w:p>
      <w:pPr>
        <w:pStyle w:val="ListNumber"/>
      </w:pPr>
      <w:r>
        <w:t>Ergänzung des Vertrags um ein Berichtswesen und eine klare Frist vor Heimfallausübung.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Schreiben der Gemeinde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Schreiben der Gemeinde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