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40"/>
      </w:pPr>
      <w:r>
        <w:rPr>
          <w:rFonts w:ascii="Arial" w:hAnsi="Arial" w:eastAsia="Arial"/>
          <w:b/>
          <w:color w:val="17365D"/>
          <w:sz w:val="17"/>
        </w:rPr>
        <w:t>SCHREIBENENTWURF</w:t>
      </w:r>
    </w:p>
    <w:p>
      <w:pPr>
        <w:widowControl/>
        <w:spacing w:after="40"/>
      </w:pPr>
      <w:r>
        <w:rPr>
          <w:rFonts w:ascii="Arial" w:hAnsi="Arial" w:eastAsia="Arial"/>
          <w:b/>
          <w:sz w:val="25"/>
        </w:rPr>
        <w:t>Petersen &amp; Hagedorn Rechtsanwälte</w:t>
      </w:r>
    </w:p>
    <w:p>
      <w:pPr>
        <w:widowControl/>
        <w:spacing w:after="200"/>
      </w:pPr>
      <w:r>
        <w:rPr>
          <w:rFonts w:ascii="Arial" w:hAnsi="Arial" w:eastAsia="Arial"/>
          <w:color w:val="586069"/>
          <w:sz w:val="17"/>
        </w:rPr>
        <w:t>Fachbereich Erbrecht | Friedrichstraße 21 | 25980 Sylt | Telefon 04651 882140</w:t>
      </w:r>
    </w:p>
    <w:p>
      <w:pPr>
        <w:widowControl/>
        <w:spacing w:after="160"/>
      </w:pPr>
      <w:r>
        <w:rPr>
          <w:rFonts w:ascii="Arial" w:hAnsi="Arial" w:eastAsia="Arial"/>
        </w:rPr>
        <w:t>Kanzlei Thomsen Legal, Hafenstraße 7, 25813 Husum</w:t>
      </w:r>
    </w:p>
    <w:p>
      <w:pPr>
        <w:widowControl/>
        <w:spacing w:after="80"/>
      </w:pPr>
      <w:r>
        <w:rPr>
          <w:rFonts w:ascii="Arial" w:hAnsi="Arial" w:eastAsia="Arial"/>
          <w:color w:val="586069"/>
          <w:sz w:val="18"/>
        </w:rPr>
        <w:t>Datum: 08.07.2026  |  Zeichen: PMH/26-184 AM</w:t>
      </w:r>
    </w:p>
    <w:p>
      <w:pPr>
        <w:pStyle w:val="Title"/>
        <w:widowControl/>
      </w:pPr>
      <w:r>
        <w:rPr>
          <w:rFonts w:ascii="Arial" w:hAnsi="Arial" w:eastAsia="Arial"/>
        </w:rPr>
        <w:t>Nachlass Helga Martensen - Auskunft, Verzeichnis und Wertermittlung</w:t>
      </w:r>
    </w:p>
    <w:p>
      <w:pPr>
        <w:widowControl/>
        <w:jc w:val="both"/>
      </w:pPr>
      <w:r>
        <w:rPr>
          <w:rFonts w:ascii="Arial" w:hAnsi="Arial" w:eastAsia="Arial"/>
        </w:rPr>
        <w:t>Sehr geehrter Herr Kollege Thomsen, wir nehmen Bezug auf Ihr Schreiben vom 2. Juli 2026. Unsere Mandantin hält an ihrem Verlangen auf vollständige Auskunft und Wertermittlung fest. Eine Bezifferung wird ausdrücklich zurückgestellt, bis die Tatsachengrundlage belastbar ist.</w:t>
      </w:r>
    </w:p>
    <w:p>
      <w:pPr>
        <w:pStyle w:val="Heading1"/>
        <w:widowControl/>
      </w:pPr>
      <w:r>
        <w:rPr>
          <w:rFonts w:ascii="Arial" w:hAnsi="Arial" w:eastAsia="Arial"/>
        </w:rPr>
        <w:t>1. Notarielles Nachlassverzeichnis</w:t>
      </w:r>
    </w:p>
    <w:p>
      <w:pPr>
        <w:widowControl/>
        <w:jc w:val="both"/>
      </w:pPr>
      <w:r>
        <w:rPr>
          <w:rFonts w:ascii="Arial" w:hAnsi="Arial" w:eastAsia="Arial"/>
        </w:rPr>
        <w:t>Bitte teilen Sie bis 15. Juli 2026 die beauftragte Notarin und das Aktenzeichen mit. Unsere Mandantin möchte bei der Aufnahme hinzugezogen werden. Zu ermitteln sind insbesondere sämtliche Konten, Depotbewegungen, Steuererstattungen, Forderungen, Hausrat und Schmuck sowie lebzeitige Zuwendungen. Das private Verzeichnis genügt hierfür nicht.</w:t>
      </w:r>
    </w:p>
    <w:p>
      <w:pPr>
        <w:pStyle w:val="Heading1"/>
        <w:widowControl/>
      </w:pPr>
      <w:r>
        <w:rPr>
          <w:rFonts w:ascii="Arial" w:hAnsi="Arial" w:eastAsia="Arial"/>
        </w:rPr>
        <w:t>2. Grundstück</w:t>
      </w:r>
    </w:p>
    <w:p>
      <w:pPr>
        <w:widowControl/>
        <w:jc w:val="both"/>
      </w:pPr>
      <w:r>
        <w:rPr>
          <w:rFonts w:ascii="Arial" w:hAnsi="Arial" w:eastAsia="Arial"/>
        </w:rPr>
        <w:t>Benötigt werden die vollständige Urkunde 118/2018, Vollzugsmitteilungen, Mietverträge und Mietabrechnungen 2018 bis 2025, Nachweise über die Verteilung von Lasten und Investitionen sowie eine Wertermittlung bezogen auf den Erbfall. Die tatsächliche Ausübung des Nießbrauchs ist anhand von Vermietungs- und Zahlungsunterlagen offenzulegen.</w:t>
      </w:r>
    </w:p>
    <w:p>
      <w:pPr>
        <w:pStyle w:val="Heading1"/>
        <w:widowControl/>
      </w:pPr>
      <w:r>
        <w:rPr>
          <w:rFonts w:ascii="Arial" w:hAnsi="Arial" w:eastAsia="Arial"/>
        </w:rPr>
        <w:t>3. Depot</w:t>
      </w:r>
    </w:p>
    <w:p>
      <w:pPr>
        <w:widowControl/>
        <w:jc w:val="both"/>
      </w:pPr>
      <w:r>
        <w:rPr>
          <w:rFonts w:ascii="Arial" w:hAnsi="Arial" w:eastAsia="Arial"/>
        </w:rPr>
        <w:t>Bitte legen Sie den Übertragsauftrag vom 18. September 2021, das Beratungsprotokoll, Ertragsabrechnungen und sämtliche Abreden über Zahlungen an Frau Martensen vor. Soweit Ihr Mandant diese Unterlagen nicht besitzt, erwarten wir die erforderlichen Zustimmungen zur Bankauskunft. Ansprüche gegen verschiedene Personen werden nicht vermengt.</w:t>
      </w:r>
    </w:p>
    <w:p>
      <w:pPr>
        <w:pStyle w:val="Heading1"/>
        <w:widowControl/>
      </w:pPr>
      <w:r>
        <w:rPr>
          <w:rFonts w:ascii="Arial" w:hAnsi="Arial" w:eastAsia="Arial"/>
        </w:rPr>
        <w:t>4. Pflege und Investitionen</w:t>
      </w:r>
    </w:p>
    <w:p>
      <w:pPr>
        <w:widowControl/>
        <w:jc w:val="both"/>
      </w:pPr>
      <w:r>
        <w:rPr>
          <w:rFonts w:ascii="Arial" w:hAnsi="Arial" w:eastAsia="Arial"/>
        </w:rPr>
        <w:t>Die Aufstellung vom 24. Juni 2026 wird nach Vorlage der Rechnungen, Kontoauszüge und Versicherungsleistungen geprüft. Bitte kennzeichnen Sie, welche Position als Nachlassverbindlichkeit, Gegenleistung, Aufwendung oder sonstige Einwendung geltend gemacht wird. Eine pauschale Saldierung wird abgelehnt.</w:t>
      </w:r>
    </w:p>
    <w:p>
      <w:pPr>
        <w:pStyle w:val="Heading1"/>
        <w:widowControl/>
      </w:pPr>
      <w:r>
        <w:rPr>
          <w:rFonts w:ascii="Arial" w:hAnsi="Arial" w:eastAsia="Arial"/>
        </w:rPr>
        <w:t>5. Frist</w:t>
      </w:r>
    </w:p>
    <w:p>
      <w:pPr>
        <w:widowControl/>
        <w:jc w:val="both"/>
      </w:pPr>
      <w:r>
        <w:rPr>
          <w:rFonts w:ascii="Arial" w:hAnsi="Arial" w:eastAsia="Arial"/>
        </w:rPr>
        <w:t>Wir bitten um vollständige Vorlage bis 31. Juli 2026. Verhandlungen erfolgen ohne Verzicht auf Einreden und ohne Stillhalteabrede. Sollte eine verjährungshemmende Vereinbarung gewünscht sein, bedarf sie einer gesonderten, eindeutigen Erklärung für jeden Anspruch und jeden Anspruchsgegner.</w:t>
      </w:r>
    </w:p>
    <w:p>
      <w:pPr>
        <w:widowControl/>
        <w:jc w:val="both"/>
      </w:pPr>
      <w:r>
        <w:rPr>
          <w:rFonts w:ascii="Arial" w:hAnsi="Arial" w:eastAsia="Arial"/>
        </w:rPr>
        <w:t>Mit freundlichen kollegialen Grüßen Lea Petersen Rechtsanwältin</w:t>
      </w:r>
    </w:p>
    <w:p>
      <w:pPr>
        <w:pStyle w:val="Heading1"/>
        <w:widowControl/>
      </w:pPr>
      <w:r>
        <w:rPr>
          <w:rFonts w:ascii="Arial" w:hAnsi="Arial" w:eastAsia="Arial"/>
        </w:rPr>
        <w:t>6. Anlagen- und Versandkontrolle</w:t>
      </w:r>
    </w:p>
    <w:p>
      <w:pPr>
        <w:keepLines w:val="0"/>
        <w:widowControl/>
      </w:pPr>
      <w:r>
        <w:rPr>
          <w:rFonts w:ascii="Arial" w:hAnsi="Arial" w:eastAsia="Arial"/>
        </w:rPr>
        <w:t>Vor Versand sind Vollmacht, Eröffnungsniederschrift, Beleganforderung und Bankauskunft als Anlagen A 1 bis A 4 zu prüfen. Das Schreiben soll über das elektronische Anwaltspostfach an Kanzlei Thomsen und als Mandantenkopie über das Portal versandt werden.</w:t>
      </w:r>
    </w:p>
    <w:p>
      <w:pPr>
        <w:keepLines w:val="0"/>
        <w:widowControl/>
      </w:pPr>
      <w:r>
        <w:rPr>
          <w:rFonts w:ascii="Arial" w:hAnsi="Arial" w:eastAsia="Arial"/>
        </w:rPr>
        <w:t>Die gesetzte Frist ist als Verhandlungs- und Belegfrist notiert. Sie wird nicht mit einer sicheren Verjährungshemmung gleichgesetzt. Ein Vergleichs- oder Stillhalteangebot muss Anspruch, Gegner und Zeitraum ausdrücklich bezeichnen.</w:t>
      </w:r>
    </w:p>
    <w:sectPr w:rsidR="00FC693F" w:rsidRPr="0006063C" w:rsidSect="00034616">
      <w:headerReference w:type="default" r:id="rId9"/>
      <w:footerReference w:type="default" r:id="rId10"/>
      <w:pgSz w:w="11906" w:h="16838"/>
      <w:pgMar w:top="1162" w:right="1219" w:bottom="1162"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before="60"/>
      <w:jc w:val="left"/>
    </w:pPr>
    <w:r>
      <w:rPr>
        <w:rFonts w:ascii="Times New Roman" w:hAnsi="Times New Roman"/>
        <w:color w:val="6B6B66"/>
        <w:sz w:val="16"/>
      </w:rPr>
    </w:r>
    <w:r>
      <w:rPr>
        <w:rFonts w:ascii="Times New Roman" w:hAnsi="Times New Roman"/>
        <w:color w:val="6B6B66"/>
        <w:sz w:val="16"/>
      </w:rPr>
      <w:t>Petersen &amp; Hagedorn Rechtsanwälte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jc w:val="left"/>
    </w:pPr>
    <w:r/>
    <w:r>
      <w:rPr>
        <w:rFonts w:ascii="Times New Roman" w:hAnsi="Times New Roman"/>
        <w:b/>
        <w:color w:val="3B3F45"/>
        <w:sz w:val="22"/>
      </w:rPr>
      <w:t>PETERSEN &amp; HAGEDORN RECHTSANWÄLTE</w:t>
    </w: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Petersen &amp; Hagedorn Rechtsanwälte</w:t>
          </w:r>
        </w:p>
        <w:p>
          <w:pPr>
            <w:spacing w:after="0"/>
          </w:pPr>
          <w:r>
            <w:rPr>
              <w:color w:val="6B7378"/>
              <w:sz w:val="15"/>
            </w:rPr>
            <w:t>Erbrecht und Vermögensnachfolge | Friedrichstraße 21 | 25980 Sylt</w:t>
          </w:r>
        </w:p>
      </w:tc>
      <w:tc>
        <w:tcPr>
          <w:tcW w:type="dxa" w:w="4706"/>
        </w:tcPr>
        <w:p>
          <w:pPr>
            <w:spacing w:after="20"/>
            <w:jc w:val="right"/>
          </w:pPr>
          <w:r>
            <w:rPr>
              <w:b/>
              <w:color w:val="17324D"/>
              <w:sz w:val="18"/>
            </w:rPr>
            <w:t>Nachlass Martensen</w:t>
          </w:r>
        </w:p>
        <w:p>
          <w:pPr>
            <w:spacing w:after="0"/>
            <w:jc w:val="right"/>
          </w:pPr>
          <w:r>
            <w:rPr>
              <w:color w:val="6B7378"/>
              <w:sz w:val="15"/>
            </w:rPr>
            <w:t>Aktenzeichen PMH/26-184 AM</w:t>
          </w:r>
        </w:p>
      </w:tc>
    </w:tr>
  </w:tbl>
  <w:p>
    <w:pPr>
      <w:jc w:val="left"/>
      <w:pBdr>
        <w:bottom w:val="single" w:sz="8" w:space="2" w:color="3B3F45"/>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Nachlass Helga Martensen - Auskunft, Verzeichnis und Wertermittlung</dc:title>
  <dc:subject>PMH/26-184 AM</dc:subject>
  <dc:creator>Petersen &amp; Hagedorn Rechtsanwälte</dc:creator>
  <cp:keywords/>
  <dc:description>generated by python-docx</dc:description>
  <cp:lastModifiedBy>Petersen &amp; Hagedorn Rechtsanwälte</cp:lastModifiedBy>
  <cp:revision>1</cp:revision>
  <dcterms:created xsi:type="dcterms:W3CDTF">2026-07-15T12:00:00Z</dcterms:created>
  <dcterms:modified xsi:type="dcterms:W3CDTF">2026-07-15T12:00:00Z</dcterms:modified>
  <cp:category/>
</cp:coreProperties>
</file>