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BANKSCHREIBEN</w:t>
      </w:r>
    </w:p>
    <w:p>
      <w:pPr>
        <w:widowControl/>
        <w:spacing w:after="40"/>
      </w:pPr>
      <w:r>
        <w:rPr>
          <w:rFonts w:ascii="Arial" w:hAnsi="Arial" w:eastAsia="Arial"/>
          <w:b/>
          <w:sz w:val="25"/>
        </w:rPr>
        <w:t>Mainfranken Bank AG</w:t>
      </w:r>
    </w:p>
    <w:p>
      <w:pPr>
        <w:widowControl/>
        <w:spacing w:after="200"/>
      </w:pPr>
      <w:r>
        <w:rPr>
          <w:rFonts w:ascii="Arial" w:hAnsi="Arial" w:eastAsia="Arial"/>
          <w:color w:val="586069"/>
          <w:sz w:val="17"/>
        </w:rPr>
        <w:t>Firmenkunden Restrukturierung | Marktplatz 11 | 97070 Würzburg</w:t>
      </w:r>
    </w:p>
    <w:p>
      <w:pPr>
        <w:widowControl/>
        <w:spacing w:after="160"/>
      </w:pPr>
      <w:r>
        <w:rPr>
          <w:rFonts w:ascii="Arial" w:hAnsi="Arial" w:eastAsia="Arial"/>
        </w:rPr>
        <w:t>Baumann Präzision GmbH, z. Hd. Mara Baumann</w:t>
      </w:r>
    </w:p>
    <w:p>
      <w:pPr>
        <w:widowControl/>
        <w:spacing w:after="80"/>
      </w:pPr>
      <w:r>
        <w:rPr>
          <w:rFonts w:ascii="Arial" w:hAnsi="Arial" w:eastAsia="Arial"/>
          <w:color w:val="586069"/>
          <w:sz w:val="18"/>
        </w:rPr>
        <w:t>Datum: 22.04.2026  |  Zeichen: MF-44719 / Kreditlinie</w:t>
      </w:r>
    </w:p>
    <w:p>
      <w:pPr>
        <w:pStyle w:val="Title"/>
        <w:widowControl/>
      </w:pPr>
      <w:r>
        <w:rPr>
          <w:rFonts w:ascii="Arial" w:hAnsi="Arial" w:eastAsia="Arial"/>
        </w:rPr>
        <w:t>Fortführung Kreditengagement nach Tod des Mehrheitsgesellschafters</w:t>
      </w:r>
    </w:p>
    <w:p>
      <w:pPr>
        <w:widowControl/>
        <w:jc w:val="both"/>
      </w:pPr>
      <w:r>
        <w:rPr>
          <w:rFonts w:ascii="Arial" w:hAnsi="Arial" w:eastAsia="Arial"/>
        </w:rPr>
        <w:t>Sehr geehrte Frau Baumann, wir bestätigen die Fortführung der Betriebsmittellinie von 2.400.000 Euro bis einschließlich 31. Juli 2026. Diese Zwischenbestätigung stellt keinen Verzicht auf Rechte aus dem Kreditvertrag dar.</w:t>
      </w:r>
    </w:p>
    <w:p>
      <w:pPr>
        <w:pStyle w:val="Heading1"/>
        <w:widowControl/>
      </w:pPr>
      <w:r>
        <w:rPr>
          <w:rFonts w:ascii="Arial" w:hAnsi="Arial" w:eastAsia="Arial"/>
        </w:rPr>
        <w:t>1. Auslösendes Ereignis</w:t>
      </w:r>
    </w:p>
    <w:p>
      <w:pPr>
        <w:widowControl/>
        <w:jc w:val="both"/>
      </w:pPr>
      <w:r>
        <w:rPr>
          <w:rFonts w:ascii="Arial" w:hAnsi="Arial" w:eastAsia="Arial"/>
        </w:rPr>
        <w:t>Der Tod des Mehrheitsgesellschafters und die angeordnete Testamentsvollstreckung lösen die Informations- und Zustimmungsklausel 12.4 des Kreditvertrags aus. Eine automatische Fälligstellung ist damit nicht erklärt. Für eine dauerhafte Fortführung benötigen wir eine eindeutige Darstellung der Beteiligungs-, Stimmrechts- und Vertretungslage.</w:t>
      </w:r>
    </w:p>
    <w:p>
      <w:pPr>
        <w:pStyle w:val="Heading1"/>
        <w:widowControl/>
      </w:pPr>
      <w:r>
        <w:rPr>
          <w:rFonts w:ascii="Arial" w:hAnsi="Arial" w:eastAsia="Arial"/>
        </w:rPr>
        <w:t>2. Benötigte Unterlagen</w:t>
      </w:r>
    </w:p>
    <w:p>
      <w:pPr>
        <w:widowControl/>
        <w:jc w:val="both"/>
      </w:pPr>
      <w:r>
        <w:rPr>
          <w:rFonts w:ascii="Arial" w:hAnsi="Arial" w:eastAsia="Arial"/>
        </w:rPr>
        <w:t>Erforderlich sind Eröffnungsniederschrift und Testament, Annahmeerklärung und Testamentsvollstreckerzeugnis, aktuelle Gesellschafterliste, Satzung, Beschluss über Geschäftsführungsbefugnisse, Fortführungsplanung bis Dezember 2027, Liquiditätsvorschau auf Wochenbasis für 13 Wochen sowie eine Bandbreite der Pflichtteilsbelastung.</w:t>
      </w:r>
    </w:p>
    <w:p>
      <w:pPr>
        <w:pStyle w:val="Heading1"/>
        <w:widowControl/>
      </w:pPr>
      <w:r>
        <w:rPr>
          <w:rFonts w:ascii="Arial" w:hAnsi="Arial" w:eastAsia="Arial"/>
        </w:rPr>
        <w:t>3. Zwischenauflagen</w:t>
      </w:r>
    </w:p>
    <w:p>
      <w:pPr>
        <w:widowControl/>
        <w:jc w:val="both"/>
      </w:pPr>
      <w:r>
        <w:rPr>
          <w:rFonts w:ascii="Arial" w:hAnsi="Arial" w:eastAsia="Arial"/>
        </w:rPr>
        <w:t>Bis zur abschließenden Entscheidung dürfen ohne unsere vorherige Zustimmung keine Ausschüttungen, Gesellschafterdarlehen, Sicherheiten zugunsten Dritter oder Zahlungen auf Pflichtteilsforderungen über insgesamt 100.000 Euro vorgenommen werden. Der gewöhnliche Geschäftsbetrieb und bereits freigegebene Investitionsvorbereitungen bleiben möglich.</w:t>
      </w:r>
    </w:p>
    <w:p>
      <w:pPr>
        <w:pStyle w:val="Heading1"/>
        <w:widowControl/>
      </w:pPr>
      <w:r>
        <w:rPr>
          <w:rFonts w:ascii="Arial" w:hAnsi="Arial" w:eastAsia="Arial"/>
        </w:rPr>
        <w:t>4. Termin</w:t>
      </w:r>
    </w:p>
    <w:p>
      <w:pPr>
        <w:widowControl/>
        <w:jc w:val="both"/>
      </w:pPr>
      <w:r>
        <w:rPr>
          <w:rFonts w:ascii="Arial" w:hAnsi="Arial" w:eastAsia="Arial"/>
        </w:rPr>
        <w:t>Wir schlagen eine gemeinsame Besprechung mit Geschäftsführung, Testamentsvollstrecker, steuerlicher Beratung und Rechtsbeistand am 12. Mai 2026 vor. Bitte übersenden Sie die Kernunterlagen bis 6. Mai über den gesicherten Datenraum.</w:t>
      </w:r>
    </w:p>
    <w:p>
      <w:pPr>
        <w:widowControl/>
        <w:jc w:val="both"/>
      </w:pPr>
      <w:r>
        <w:rPr>
          <w:rFonts w:ascii="Arial" w:hAnsi="Arial" w:eastAsia="Arial"/>
        </w:rPr>
        <w:t>Mit freundlichen Grüßen Mainfranken Bank AG Claudia Rehm, Direktorin Firmenkunden | Martin Zahn, Kreditanalyse</w:t>
      </w:r>
    </w:p>
    <w:p>
      <w:pPr>
        <w:pStyle w:val="Heading1"/>
        <w:widowControl/>
      </w:pPr>
      <w:r>
        <w:rPr>
          <w:rFonts w:ascii="Arial" w:hAnsi="Arial" w:eastAsia="Arial"/>
        </w:rPr>
        <w:t>5. Ansprechpartner und Datenraum</w:t>
      </w:r>
    </w:p>
    <w:p>
      <w:pPr>
        <w:keepLines w:val="0"/>
        <w:widowControl/>
      </w:pPr>
      <w:r>
        <w:rPr>
          <w:rFonts w:ascii="Arial" w:hAnsi="Arial" w:eastAsia="Arial"/>
        </w:rPr>
        <w:t>Federführend sind Claudia Rehm, Direktorin Firmenkunden, Durchwahl 0931 7704-221, und Martin Zahn, Kreditanalyse, Durchwahl 0931 7704-239. Der Datenraum MF-44719 wurde am 24.04.2026 freigeschaltet; jede hochgeladene Version erhält Zeitstempel und Freigabestatus.</w:t>
      </w:r>
    </w:p>
    <w:p>
      <w:pPr>
        <w:keepLines w:val="0"/>
        <w:widowControl/>
      </w:pPr>
      <w:r>
        <w:rPr>
          <w:rFonts w:ascii="Arial" w:hAnsi="Arial" w:eastAsia="Arial"/>
        </w:rPr>
        <w:t>Die Bank verlangt keine inhaltliche Anerkennung von Tilos Forderung. Sie erwartet ein transparentes Band möglicher Liquiditätsbelastung und eine Darstellung der verfügbaren Sicherheiten.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Mainfranken 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2C5230"/>
        <w:sz w:val="24"/>
      </w:rPr>
      <w:t>Mainfranken Bank AG</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Mainfranken Bank AG</w:t>
          </w:r>
        </w:p>
        <w:p>
          <w:pPr>
            <w:spacing w:after="0"/>
          </w:pPr>
          <w:r>
            <w:rPr>
              <w:color w:val="6B7378"/>
              <w:sz w:val="15"/>
            </w:rPr>
            <w:t>Firmenkunden Restrukturierung | Marktplatz 11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Fortführung Kreditengagement nach Tod des Mehrheitsgesellschafters</dc:title>
  <dc:subject>MF-44719 / Kreditlinie</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