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Gesellschaftsvertrag der Sander Präzisionsteile GmbH (auszugsweise Abschrift)</w:t>
      </w:r>
    </w:p>
    <w:p>
      <w:pPr>
        <w:widowControl/>
        <w:jc w:val="left"/>
      </w:pPr>
      <w:r>
        <w:rPr>
          <w:rFonts w:ascii="Arial" w:hAnsi="Arial" w:eastAsia="Arial"/>
        </w:rPr>
        <w:t xml:space="preserve">Notarielle Urkunde des Notars Dr. Bruno Falkenberg, Erfurt, </w:t>
      </w:r>
      <w:r>
        <w:rPr>
          <w:rFonts w:ascii="Arial" w:hAnsi="Arial" w:eastAsia="Arial"/>
          <w:b/>
        </w:rPr>
        <w:t>UR-Nr. 402/2018</w:t>
      </w:r>
      <w:r>
        <w:rPr>
          <w:rFonts w:ascii="Arial" w:hAnsi="Arial" w:eastAsia="Arial"/>
        </w:rPr>
        <w:t xml:space="preserve"> vom 15.05.2018 (Neufassung des Gesellschaftsvertrags), zuletzt geändert durch Beschluss vom 20.03.2023 (Aufnahme des Gesellschafters Jonas Mielke, UR-Nr. 141/2023). Auszug erteilt am 25.06.2026 auf Anforderung der Kanzlei Dr. Weigand; die vollständige Urkunde liegt der Gesellschaft vor.</w:t>
      </w:r>
    </w:p>
    <w:p>
      <w:pPr>
        <w:pStyle w:val="Heading1"/>
        <w:widowControl/>
      </w:pPr>
      <w:r>
        <w:rPr>
          <w:rFonts w:ascii="Arial" w:hAnsi="Arial" w:eastAsia="Arial"/>
        </w:rPr>
        <w:t>1 Firma, Sitz, Stammkapital</w:t>
      </w:r>
    </w:p>
    <w:p>
      <w:pPr>
        <w:pStyle w:val="Heading2"/>
        <w:widowControl/>
        <w:jc w:val="left"/>
      </w:pPr>
      <w:r>
        <w:rPr>
          <w:rFonts w:ascii="Arial" w:hAnsi="Arial" w:eastAsia="Arial"/>
        </w:rPr>
        <w:t>1.1 Die Firma der Gesellschaft lautet Sander Präzisionsteile GmbH. Sitz der Gesellschaft ist Erfurt (HRB 512344, Amtsgericht Jena).</w:t>
      </w:r>
    </w:p>
    <w:p>
      <w:pPr>
        <w:pStyle w:val="Heading2"/>
        <w:widowControl/>
        <w:jc w:val="left"/>
      </w:pPr>
      <w:r>
        <w:rPr>
          <w:rFonts w:ascii="Arial" w:hAnsi="Arial" w:eastAsia="Arial"/>
        </w:rPr>
        <w:t>1.2 Das Stammkapital beträgt 250.000,00 EUR. Es ist übernommen von Ralf Sander zu 86 Prozent und von Jonas Mielke zu 14 Prozent.</w:t>
      </w:r>
    </w:p>
    <w:p>
      <w:pPr>
        <w:pStyle w:val="Heading1"/>
        <w:widowControl/>
      </w:pPr>
      <w:r>
        <w:rPr>
          <w:rFonts w:ascii="Arial" w:hAnsi="Arial" w:eastAsia="Arial"/>
        </w:rPr>
        <w:t>2 Vinkulierung</w:t>
      </w:r>
    </w:p>
    <w:p>
      <w:pPr>
        <w:pStyle w:val="Heading2"/>
        <w:widowControl/>
        <w:jc w:val="left"/>
      </w:pPr>
      <w:r>
        <w:rPr>
          <w:rFonts w:ascii="Arial" w:hAnsi="Arial" w:eastAsia="Arial"/>
        </w:rPr>
        <w:t>2.1 Die Abtretung von Geschäftsanteilen oder Teilen von Geschäftsanteilen bedarf zu ihrer Wirksamkeit der schriftlichen Zustimmung der Gesellschafterversammlung mit einer Mehrheit von 75 Prozent der abgegebenen Stimmen.</w:t>
      </w:r>
    </w:p>
    <w:p>
      <w:pPr>
        <w:pStyle w:val="Heading2"/>
        <w:widowControl/>
        <w:jc w:val="left"/>
      </w:pPr>
      <w:r>
        <w:rPr>
          <w:rFonts w:ascii="Arial" w:hAnsi="Arial" w:eastAsia="Arial"/>
        </w:rPr>
        <w:t>2.2 Die Verpfändung von Geschäftsanteilen und die Bestellung eines Nießbrauchs stehen der Abtretung gleich.</w:t>
      </w:r>
    </w:p>
    <w:p>
      <w:pPr>
        <w:pStyle w:val="Heading1"/>
        <w:widowControl/>
      </w:pPr>
      <w:r>
        <w:rPr>
          <w:rFonts w:ascii="Arial" w:hAnsi="Arial" w:eastAsia="Arial"/>
        </w:rPr>
        <w:t>3 Einziehung im Erbfall</w:t>
      </w:r>
    </w:p>
    <w:p>
      <w:pPr>
        <w:pStyle w:val="Heading2"/>
        <w:widowControl/>
        <w:jc w:val="left"/>
      </w:pPr>
      <w:r>
        <w:rPr>
          <w:rFonts w:ascii="Arial" w:hAnsi="Arial" w:eastAsia="Arial"/>
        </w:rPr>
        <w:t>3.1 Geht ein Geschäftsanteil von Todes wegen auf eine oder mehrere Personen über, die nicht selbst Gesellschafter sind und nicht seit mindestens drei Jahren in einem Anstellungs- oder Organverhältnis zur Gesellschaft stehen, kann die Gesellschafterversammlung binnen sechs Monaten nach Kenntnis vom Erbfall die Einziehung des Geschäftsanteils oder seine Abtretung an eine von ihr benannte Person beschließen.</w:t>
      </w:r>
    </w:p>
    <w:p>
      <w:pPr>
        <w:pStyle w:val="Heading2"/>
        <w:widowControl/>
        <w:jc w:val="left"/>
      </w:pPr>
      <w:r>
        <w:rPr>
          <w:rFonts w:ascii="Arial" w:hAnsi="Arial" w:eastAsia="Arial"/>
        </w:rPr>
        <w:t>3.2 Der betroffene Erbe hat bei der Beschlussfassung kein Stimmrecht.</w:t>
      </w:r>
    </w:p>
    <w:p>
      <w:pPr>
        <w:pStyle w:val="Heading1"/>
        <w:widowControl/>
      </w:pPr>
      <w:r>
        <w:rPr>
          <w:rFonts w:ascii="Arial" w:hAnsi="Arial" w:eastAsia="Arial"/>
        </w:rPr>
        <w:t>4 Abfindung</w:t>
      </w:r>
    </w:p>
    <w:p>
      <w:pPr>
        <w:pStyle w:val="Heading2"/>
        <w:widowControl/>
        <w:jc w:val="left"/>
      </w:pPr>
      <w:r>
        <w:rPr>
          <w:rFonts w:ascii="Arial" w:hAnsi="Arial" w:eastAsia="Arial"/>
        </w:rPr>
        <w:t xml:space="preserve">4.1 In allen Fällen der Einziehung oder Zwangsabtretung erhält der ausscheidende Gesellschafter oder Erbe eine Abfindung in Höhe des </w:t>
      </w:r>
      <w:r>
        <w:rPr>
          <w:rFonts w:ascii="Arial" w:hAnsi="Arial" w:eastAsia="Arial"/>
          <w:b/>
        </w:rPr>
        <w:t>Buchwerts</w:t>
      </w:r>
      <w:r>
        <w:rPr>
          <w:rFonts w:ascii="Arial" w:hAnsi="Arial" w:eastAsia="Arial"/>
        </w:rPr>
        <w:t xml:space="preserve"> seines Geschäftsanteils nach der letzten festgestellten Handelsbilanz zuzüglich des zeitanteiligen Ergebnisses des laufenden Geschäftsjahres.</w:t>
      </w:r>
    </w:p>
    <w:p>
      <w:pPr>
        <w:pStyle w:val="Heading2"/>
        <w:widowControl/>
        <w:jc w:val="left"/>
      </w:pPr>
      <w:r>
        <w:rPr>
          <w:rFonts w:ascii="Arial" w:hAnsi="Arial" w:eastAsia="Arial"/>
        </w:rPr>
        <w:t>4.2 Stille Reserven, ein Firmenwert und schwebende Geschäfte bleiben bei der Bemessung der Abfindung außer Ansatz.</w:t>
      </w:r>
    </w:p>
    <w:p>
      <w:pPr>
        <w:pStyle w:val="Heading2"/>
        <w:widowControl/>
        <w:jc w:val="left"/>
      </w:pPr>
      <w:r>
        <w:rPr>
          <w:rFonts w:ascii="Arial" w:hAnsi="Arial" w:eastAsia="Arial"/>
        </w:rPr>
        <w:t>4.3 Die Abfindung ist in fünf gleichen Jahresraten zu zahlen; die erste Rate ist sechs Monate nach dem Ausscheiden fällig. Die jeweils offene Abfindung ist mit zwei Prozentpunkten über dem Basiszinssatz zu verzinsen.</w:t>
      </w:r>
    </w:p>
    <w:p>
      <w:pPr>
        <w:pStyle w:val="Heading1"/>
        <w:widowControl/>
      </w:pPr>
      <w:r>
        <w:rPr>
          <w:rFonts w:ascii="Arial" w:hAnsi="Arial" w:eastAsia="Arial"/>
        </w:rPr>
        <w:t>5 Geschäftsführung</w:t>
      </w:r>
    </w:p>
    <w:p>
      <w:pPr>
        <w:pStyle w:val="Heading2"/>
        <w:widowControl/>
        <w:jc w:val="left"/>
      </w:pPr>
      <w:r>
        <w:rPr>
          <w:rFonts w:ascii="Arial" w:hAnsi="Arial" w:eastAsia="Arial"/>
        </w:rPr>
        <w:t>5.1 Die Gesellschaft hat einen oder mehrere Geschäftsführer. Sind mehrere Geschäftsführer bestellt, wird die Gesellschaft durch zwei Geschäftsführer gemeinsam oder durch einen Geschäftsführer gemeinsam mit einem Prokuristen vertreten.</w:t>
      </w:r>
    </w:p>
    <w:p>
      <w:pPr>
        <w:pStyle w:val="Heading2"/>
        <w:widowControl/>
        <w:jc w:val="left"/>
      </w:pPr>
      <w:r>
        <w:rPr>
          <w:rFonts w:ascii="Arial" w:hAnsi="Arial" w:eastAsia="Arial"/>
        </w:rPr>
        <w:t>5.2 Bestellt sind Ralf Sander und Jonas Mielke, jeweils mit Befreiung von den Beschränkungen des Paragrafen 181 BGB.</w:t>
      </w:r>
    </w:p>
    <w:p>
      <w:pPr>
        <w:widowControl/>
      </w:pPr>
    </w:p>
    <w:p>
      <w:pPr>
        <w:widowControl/>
        <w:jc w:val="left"/>
      </w:pPr>
      <w:r>
        <w:rPr>
          <w:rFonts w:ascii="Arial" w:hAnsi="Arial" w:eastAsia="Arial"/>
          <w:i/>
        </w:rPr>
        <w:t>Kanzleivermerk (118/26 W02): Ob die buchwertnahe Abfindungsklausel in Ziffer 4 auch die Bewertung des Nachlassanteils für Pflichtteilszwecke bestimmt oder nur das gesellschaftsrechtliche Innenverhältnis regelt, ist der zentrale Bewertungsstreit der Akte. Zu prüfen ist ferner, ob die Einziehungsvoraussetzungen der Ziffer 3.1 im Erbgang auf Jonas Mielke-Sander überhaupt ausgelöst werden, da dieser seit 2012 im Unternehmen tätig und seit 2019 Prokurist, seit 2023 Geschäftsführer ist.</w:t>
      </w:r>
    </w:p>
    <w:p>
      <w:pPr>
        <w:pStyle w:val="Heading1"/>
        <w:widowControl/>
      </w:pPr>
      <w:r>
        <w:rPr>
          <w:rFonts w:ascii="Arial" w:hAnsi="Arial" w:eastAsia="Arial"/>
        </w:rPr>
        <w:t>6. Register- und Vollzugsstand</w:t>
      </w:r>
    </w:p>
    <w:p>
      <w:pPr>
        <w:keepLines w:val="0"/>
        <w:widowControl/>
      </w:pPr>
      <w:r>
        <w:rPr>
          <w:rFonts w:ascii="Arial" w:hAnsi="Arial" w:eastAsia="Arial"/>
        </w:rPr>
        <w:t>Die Abtretung von 14 Prozent an Jonas wurde am 20.03.2023 notariell beurkundet und am 27.03.2023 in die Gesellschafterliste aufgenommen. Der Kaufpreis betrug 120000,00 EUR; 48000,00 EUR sind nach der Stundungsvereinbarung noch offen.</w:t>
      </w:r>
    </w:p>
    <w:p>
      <w:pPr>
        <w:keepLines w:val="0"/>
        <w:widowControl/>
      </w:pPr>
      <w:r>
        <w:rPr>
          <w:rFonts w:ascii="Arial" w:hAnsi="Arial" w:eastAsia="Arial"/>
        </w:rPr>
        <w:t>Nach dem Tod Ralfs ist Jonas alleiniger eingetragener Geschäftsführer. Die Erbenstellung und die gesellschaftsrechtliche Behandlung des 86-Prozent-Anteils sind davon zu trennen. Der Registerstand ersetzt keinen Erbnachweis.</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Sander Präzisionsteile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Sander Präzisionsteile GmbH</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Sander Präzisionsteile GmbH</w:t>
          </w:r>
        </w:p>
        <w:p>
          <w:pPr>
            <w:spacing w:after="0"/>
          </w:pPr>
          <w:r>
            <w:rPr>
              <w:color w:val="6B7378"/>
              <w:sz w:val="15"/>
            </w:rPr>
            <w:t>Sitz Erfurt | HRB 512344 | Gesellschaftsvertragsauszug</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