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Anwaltsgericht — § 114 BRAO: Anwaltsgerichtliches Verfahren</w:t>
      </w:r>
    </w:p>
    <w:p>
      <w:pPr>
        <w:jc w:val="left"/>
      </w:pPr>
      <w:r>
        <w:t>Verfahrensstufen und Sanktionskatalog im berufsrechtlichen Verfahren</w:t>
      </w:r>
    </w:p>
    <w:p/>
    <w:p>
      <w:pPr>
        <w:pStyle w:val="Heading2"/>
      </w:pPr>
      <w:r>
        <w:rPr>
          <w:rFonts w:ascii="Times New Roman" w:hAnsi="Times New Roman"/>
        </w:rPr>
        <w:t>Gesetzestext</w:t>
      </w:r>
    </w:p>
    <w:p>
      <w:pPr>
        <w:jc w:val="left"/>
      </w:pPr>
      <w:r>
        <w:t>§ 114 BRAO (Anwaltsgerichtliche Maßnahmen):</w:t>
      </w:r>
    </w:p>
    <w:p>
      <w:pPr>
        <w:ind w:left="567"/>
      </w:pPr>
      <w:r>
        <w:rPr>
          <w:i/>
        </w:rPr>
        <w:t>(1) Anwaltsgerichtliche Maßnahmen sind bei Verfahren gegen Rechtsanwälte:</w:t>
      </w:r>
    </w:p>
    <w:p>
      <w:pPr>
        <w:ind w:left="567"/>
      </w:pPr>
      <w:r>
        <w:rPr>
          <w:i/>
        </w:rPr>
        <w:t>1. Warnung,</w:t>
      </w:r>
    </w:p>
    <w:p>
      <w:pPr>
        <w:ind w:left="567"/>
      </w:pPr>
      <w:r>
        <w:rPr>
          <w:i/>
        </w:rPr>
        <w:t>2. Verweis,</w:t>
      </w:r>
    </w:p>
    <w:p>
      <w:pPr>
        <w:ind w:left="567"/>
      </w:pPr>
      <w:r>
        <w:rPr>
          <w:i/>
        </w:rPr>
        <w:t>3. Geldbuße bis zu fünfzigtausend Euro,</w:t>
      </w:r>
    </w:p>
    <w:p>
      <w:pPr>
        <w:ind w:left="567"/>
      </w:pPr>
      <w:r>
        <w:rPr>
          <w:i/>
        </w:rPr>
        <w:t>4. Verbot, auf bestimmten Rechtsgebieten als Vertreter oder Beistand für die Dauer von einem Jahr bis zu fünf Jahren tätig zu sein,</w:t>
      </w:r>
    </w:p>
    <w:p>
      <w:pPr>
        <w:ind w:left="567"/>
      </w:pPr>
      <w:r>
        <w:rPr>
          <w:i/>
        </w:rPr>
        <w:t>5. Ausschluss aus der Rechtsanwaltschaft.</w:t>
      </w:r>
    </w:p>
    <w:p>
      <w:pPr>
        <w:jc w:val="left"/>
      </w:pPr>
      <w:r>
        <w:t>Quelle: dejure.org — § 114 BRAO</w:t>
      </w:r>
    </w:p>
    <w:p/>
    <w:p>
      <w:pPr>
        <w:pStyle w:val="Heading2"/>
      </w:pPr>
      <w:r>
        <w:rPr>
          <w:rFonts w:ascii="Times New Roman" w:hAnsi="Times New Roman"/>
        </w:rPr>
        <w:t>Verhältnis zur Rüge nach § 74 BRAO</w:t>
      </w:r>
    </w:p>
    <w:p>
      <w:pPr>
        <w:jc w:val="left"/>
      </w:pPr>
      <w:r>
        <w:t>Die Rüge nach § 74 BRAO ist kein anwaltsgerichtliches Verfahren, sondern eine Verwaltungsmaßnahme der Rechtsanwaltskammer. Das anwaltsgerichtliche Verfahren nach §§ 113 ff. BRAO ist das förmliche Disziplinarverfahren, das beim Anwaltsgericht (§ 93 BRAO) anhängig gemacht wird.</w:t>
      </w:r>
    </w:p>
    <w:p>
      <w:pPr>
        <w:jc w:val="left"/>
      </w:pPr>
      <w:r>
        <w:t>Im vorliegenden Fall hat die RAK Frankfurt bisher nur ein Anhörungsverfahren eingeleitet (§ 73 BRAO). Eine Weiterleitung an das Anwaltsgericht ist nicht ausgeschlossen, aber nach derzeitigem Erkenntnisstand nicht wahrscheinlich, sofern die Stellungnahme der Kanzlei überzeugend ist.</w:t>
      </w:r>
    </w:p>
    <w:p/>
    <w:p>
      <w:pPr>
        <w:pStyle w:val="Heading2"/>
      </w:pPr>
      <w:r>
        <w:rPr>
          <w:rFonts w:ascii="Times New Roman" w:hAnsi="Times New Roman"/>
        </w:rPr>
        <w:t>Zuständiges Anwaltsgericht</w:t>
      </w:r>
    </w:p>
    <w:p>
      <w:pPr>
        <w:jc w:val="left"/>
      </w:pPr>
      <w:r>
        <w:t>Das Anwaltsgericht Frankfurt am Main ist bei dem Landgericht Frankfurt angesiedelt (§ 93 Abs. 2 BRAO). Es ist zuständig für Verfahren gegen Rechtsanwälte, die bei der RAK Frankfurt zugelassen sind.</w:t>
      </w:r>
    </w:p>
    <w:p/>
    <w:p>
      <w:pPr>
        <w:pStyle w:val="Heading2"/>
      </w:pPr>
      <w:r>
        <w:rPr>
          <w:rFonts w:ascii="Times New Roman" w:hAnsi="Times New Roman"/>
        </w:rPr>
        <w:t>Verfahrensablauf im anwaltsgerichtlichen Verfahren</w:t>
      </w:r>
    </w:p>
    <w:p>
      <w:pPr>
        <w:pStyle w:val="ListNumber"/>
      </w:pPr>
      <w:r>
        <w:rPr>
          <w:b/>
        </w:rPr>
        <w:t>Einleitung:</w:t>
      </w:r>
      <w:r>
        <w:t xml:space="preserve"> Die RAK beantragt beim Anwaltsgericht die Einleitung des Verfahrens (§ 118 BRAO) oder die Staatsanwaltschaft erhebt Anklage.</w:t>
      </w:r>
    </w:p>
    <w:p>
      <w:pPr>
        <w:pStyle w:val="ListNumber"/>
      </w:pPr>
      <w:r>
        <w:rPr>
          <w:b/>
        </w:rPr>
        <w:t>Voruntersuchung (§ 120a BRAO):</w:t>
      </w:r>
      <w:r>
        <w:t xml:space="preserve"> Mögliche Vernehmung des betroffenen Rechtsanwalts und von Zeugen.</w:t>
      </w:r>
    </w:p>
    <w:p>
      <w:pPr>
        <w:pStyle w:val="ListNumber"/>
      </w:pPr>
      <w:r>
        <w:rPr>
          <w:b/>
        </w:rPr>
        <w:t>Hauptverhandlung:</w:t>
      </w:r>
      <w:r>
        <w:t xml:space="preserve"> Öffentlichkeit ist ausgeschlossen (§ 130 BRAO), es sei denn, der Rechtsanwalt beantragt öffentliche Verhandlung.</w:t>
      </w:r>
    </w:p>
    <w:p>
      <w:pPr>
        <w:pStyle w:val="ListNumber"/>
      </w:pPr>
      <w:r>
        <w:rPr>
          <w:b/>
        </w:rPr>
        <w:t>Urteil:</w:t>
      </w:r>
      <w:r>
        <w:t xml:space="preserve"> Das Anwaltsgericht entscheidet über die Maßnahme nach § 114 BRAO.</w:t>
      </w:r>
    </w:p>
    <w:p>
      <w:pPr>
        <w:pStyle w:val="ListNumber"/>
      </w:pPr>
      <w:r>
        <w:rPr>
          <w:b/>
        </w:rPr>
        <w:t>Rechtsmittel:</w:t>
      </w:r>
      <w:r>
        <w:t xml:space="preserve"> Berufung zum Anwaltsgerichtshof (§ 145 BRAO), Revision zum BGH (§ 146 BRAO).</w:t>
      </w:r>
    </w:p>
    <w:p/>
    <w:p>
      <w:pPr>
        <w:pStyle w:val="Heading2"/>
      </w:pPr>
      <w:r>
        <w:rPr>
          <w:rFonts w:ascii="Times New Roman" w:hAnsi="Times New Roman"/>
        </w:rPr>
        <w:t>Sanktionsprognose für RA Dr. Kröll</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Pflichtverletzung</w:t>
            </w:r>
          </w:p>
        </w:tc>
        <w:tc>
          <w:tcPr>
            <w:tcW w:type="dxa" w:w="4536"/>
          </w:tcPr>
          <w:p>
            <w:r>
              <w:rPr>
                <w:rFonts w:ascii="Times New Roman" w:hAnsi="Times New Roman"/>
                <w:b/>
                <w:sz w:val="20"/>
              </w:rPr>
              <w:t>Wahrscheinliche Sanktion</w:t>
            </w:r>
          </w:p>
        </w:tc>
      </w:tr>
      <w:tr>
        <w:tc>
          <w:tcPr>
            <w:tcW w:type="dxa" w:w="4536"/>
          </w:tcPr>
          <w:p>
            <w:r>
              <w:rPr>
                <w:rFonts w:ascii="Times New Roman" w:hAnsi="Times New Roman"/>
                <w:sz w:val="20"/>
              </w:rPr>
              <w:t>Sachlichkeitsverstoß § 43a Abs. 3 BRAO (E-Mail 14.02.2026)</w:t>
            </w:r>
          </w:p>
        </w:tc>
        <w:tc>
          <w:tcPr>
            <w:tcW w:type="dxa" w:w="4536"/>
          </w:tcPr>
          <w:p>
            <w:r>
              <w:rPr>
                <w:rFonts w:ascii="Times New Roman" w:hAnsi="Times New Roman"/>
                <w:sz w:val="20"/>
              </w:rPr>
              <w:t>Rüge bis Verweis</w:t>
            </w:r>
          </w:p>
        </w:tc>
      </w:tr>
      <w:tr>
        <w:tc>
          <w:tcPr>
            <w:tcW w:type="dxa" w:w="4536"/>
          </w:tcPr>
          <w:p>
            <w:r>
              <w:rPr>
                <w:rFonts w:ascii="Times New Roman" w:hAnsi="Times New Roman"/>
                <w:sz w:val="20"/>
              </w:rPr>
              <w:t>DSGVO-Panne als organisatorisches Versagen</w:t>
            </w:r>
          </w:p>
        </w:tc>
        <w:tc>
          <w:tcPr>
            <w:tcW w:type="dxa" w:w="4536"/>
          </w:tcPr>
          <w:p>
            <w:r>
              <w:rPr>
                <w:rFonts w:ascii="Times New Roman" w:hAnsi="Times New Roman"/>
                <w:sz w:val="20"/>
              </w:rPr>
              <w:t>Rüge (wenn kausal der Kanzlei zurechenbar)</w:t>
            </w:r>
          </w:p>
        </w:tc>
      </w:tr>
      <w:tr>
        <w:tc>
          <w:tcPr>
            <w:tcW w:type="dxa" w:w="4536"/>
          </w:tcPr>
          <w:p>
            <w:r>
              <w:rPr>
                <w:rFonts w:ascii="Times New Roman" w:hAnsi="Times New Roman"/>
                <w:sz w:val="20"/>
              </w:rPr>
              <w:t>Drohung § 240 StGB (kein Strafantrag Gegenseite)</w:t>
            </w:r>
          </w:p>
        </w:tc>
        <w:tc>
          <w:tcPr>
            <w:tcW w:type="dxa" w:w="4536"/>
          </w:tcPr>
          <w:p>
            <w:r>
              <w:rPr>
                <w:rFonts w:ascii="Times New Roman" w:hAnsi="Times New Roman"/>
                <w:sz w:val="20"/>
              </w:rPr>
              <w:t>Unwahrscheinlich — abhängig von Strafverfolgung</w:t>
            </w:r>
          </w:p>
        </w:tc>
      </w:tr>
      <w:tr>
        <w:tc>
          <w:tcPr>
            <w:tcW w:type="dxa" w:w="4536"/>
          </w:tcPr>
          <w:p>
            <w:r>
              <w:rPr>
                <w:rFonts w:ascii="Times New Roman" w:hAnsi="Times New Roman"/>
                <w:sz w:val="20"/>
              </w:rPr>
              <w:t>Kollegialitätspflichtverletzung § 2 BORA</w:t>
            </w:r>
          </w:p>
        </w:tc>
        <w:tc>
          <w:tcPr>
            <w:tcW w:type="dxa" w:w="4536"/>
          </w:tcPr>
          <w:p>
            <w:r>
              <w:rPr>
                <w:rFonts w:ascii="Times New Roman" w:hAnsi="Times New Roman"/>
                <w:sz w:val="20"/>
              </w:rPr>
              <w:t>Rüge (kumulativ zu Sachlichkeitsverstoß)</w:t>
            </w:r>
          </w:p>
        </w:tc>
      </w:tr>
    </w:tbl>
    <w:p>
      <w:pPr>
        <w:jc w:val="left"/>
      </w:pPr>
      <w:r>
        <w:rPr>
          <w:b/>
        </w:rPr>
        <w:t>Gesamtprognose:</w:t>
      </w:r>
      <w:r>
        <w:t xml:space="preserve"> Bei sachlicher und vollständiger Stellungnahme ist eine </w:t>
      </w:r>
      <w:r>
        <w:rPr>
          <w:b/>
        </w:rPr>
        <w:t>Rüge nach § 74 BRAO</w:t>
      </w:r>
      <w:r>
        <w:t xml:space="preserve"> das wahrscheinlichste Ergebnis. Eine Weiterleitung ans Anwaltsgericht käme nur in Betracht, wenn weitere Vorfälle bekannt werden oder die Stellungnahme unglaubwürdig erscheint.</w:t>
      </w:r>
    </w:p>
    <w:p/>
    <w:p>
      <w:pPr>
        <w:pStyle w:val="Heading2"/>
      </w:pPr>
      <w:r>
        <w:rPr>
          <w:rFonts w:ascii="Times New Roman" w:hAnsi="Times New Roman"/>
        </w:rPr>
        <w:t>Sanktionsprognose für RAin Tannenkamp</w:t>
      </w:r>
    </w:p>
    <w:p>
      <w:pPr>
        <w:jc w:val="left"/>
      </w:pPr>
      <w:r>
        <w:t>RAin Tannenkamp ist als Junioranwältin in der Hierarchie unterhalb von RA Dr. Kröll tätig. Der Brief an den Notar-Vertreter vom 22.02.2026 ist ihr eigener Sachlichkeitsverstoß. Bei einer Junioranwältin im dritten Berufsjahr ist die Erwartungshaltung der RAK typischerweise milder; gleichwohl hat sie professionell für ihre eigene Korrespondenz einzustehen.</w:t>
      </w:r>
    </w:p>
    <w:p/>
    <w:p>
      <w:pPr>
        <w:pStyle w:val="Heading2"/>
      </w:pPr>
      <w:r>
        <w:rPr>
          <w:rFonts w:ascii="Times New Roman" w:hAnsi="Times New Roman"/>
        </w:rPr>
        <w:t>Präzedenzfälle</w:t>
      </w:r>
    </w:p>
    <w:p>
      <w:pPr>
        <w:jc w:val="left"/>
      </w:pPr>
      <w:r>
        <w:t>Das Bundesverfassungsgericht hat in mehreren Entscheidungen klargestellt, dass das Verhältnismäßigkeitsprinzip bei berufsrechtlichen Sanktionen streng zu beachten ist: Ein Ausschluss aus der Rechtsanwaltschaft kommt nur bei schwerwiegenden und wiederholten Verstößen in Betracht (BVerfGE 66, 337, openjur.de).</w:t>
      </w:r>
    </w:p>
    <w:p/>
    <w:p>
      <w:pPr>
        <w:pStyle w:val="Heading2"/>
      </w:pPr>
      <w:r>
        <w:rPr>
          <w:rFonts w:ascii="Times New Roman" w:hAnsi="Times New Roman"/>
        </w:rPr>
        <w:t>Quellen</w:t>
      </w:r>
    </w:p>
    <w:p>
      <w:pPr>
        <w:pStyle w:val="ListBullet"/>
      </w:pPr>
      <w:r>
        <w:t>§ 113 BRAO — dejure.org</w:t>
      </w:r>
    </w:p>
    <w:p>
      <w:pPr>
        <w:pStyle w:val="ListBullet"/>
      </w:pPr>
      <w:r>
        <w:t>§ 114 BRAO — dejure.org</w:t>
      </w:r>
    </w:p>
    <w:p>
      <w:pPr>
        <w:pStyle w:val="ListBullet"/>
      </w:pPr>
      <w:r>
        <w:t>§ 74 BRAO — dejure.org</w:t>
      </w:r>
    </w:p>
    <w:p>
      <w:pPr>
        <w:pStyle w:val="ListBullet"/>
      </w:pPr>
      <w:r>
        <w:t>§ 93 BRAO — dejure.org</w:t>
      </w:r>
    </w:p>
    <w:p>
      <w:pPr>
        <w:pStyle w:val="ListBullet"/>
      </w:pPr>
      <w:r>
        <w:t>BVerfGE 66, 337 — openjur.de</w:t>
      </w:r>
    </w:p>
    <w:p/>
    <w:p>
      <w:pPr>
        <w:jc w:val="left"/>
      </w:pPr>
      <w:r>
        <w:t>Bearbeitungsstand: 22.04.2026 — RAin Yvonne Tannenkamp</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Anwaltsgericht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Anwaltsgericht</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