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Aktenstück 01 — Mandatsaufnahme und Erstbesprechung</w:t>
      </w:r>
    </w:p>
    <w:p>
      <w:pPr>
        <w:jc w:val="left"/>
      </w:pPr>
      <w:r>
        <w:rPr>
          <w:b/>
        </w:rPr>
        <w:t>Aktenzeichen:</w:t>
      </w:r>
      <w:r>
        <w:t xml:space="preserve"> BAFA OWi BL-22-4188/26 | BMWK 13-IPR-66/2026 | ICC Paris 28-441/SCH/MS | LG Frankfurt 3-21 O 144/26</w:t>
      </w:r>
    </w:p>
    <w:p>
      <w:pPr>
        <w:jc w:val="left"/>
      </w:pPr>
      <w:r>
        <w:rPr>
          <w:b/>
        </w:rPr>
        <w:t>Mandant:</w:t>
      </w:r>
      <w:r>
        <w:t xml:space="preserve"> Werkmann Anlagentechnik AG, Industriestraße 88, 68169 Mannheim</w:t>
      </w:r>
    </w:p>
    <w:p>
      <w:pPr>
        <w:jc w:val="left"/>
      </w:pPr>
      <w:r>
        <w:rPr>
          <w:b/>
        </w:rPr>
        <w:t>Geschäftsführer:</w:t>
      </w:r>
      <w:r>
        <w:t xml:space="preserve"> Dr. Hannes Werkmann-Lottermann (Vorsitzender), Dipl.-Ing. Petra Sollinger-Baum (Technik), Florian Reusch (Finanzen)</w:t>
      </w:r>
    </w:p>
    <w:p>
      <w:pPr>
        <w:jc w:val="left"/>
      </w:pPr>
      <w:r>
        <w:rPr>
          <w:b/>
        </w:rPr>
        <w:t>Kanzlei:</w:t>
      </w:r>
      <w:r>
        <w:t xml:space="preserve"> Salzgitter, Boekenkamp &amp; Trautmannsdorf Rechtsanwaltsgesellschaft mbH, Taunusanlage 9, 60329 Frankfurt am Main</w:t>
      </w:r>
    </w:p>
    <w:p>
      <w:pPr>
        <w:jc w:val="left"/>
      </w:pPr>
      <w:r>
        <w:rPr>
          <w:b/>
        </w:rPr>
        <w:t>Federführung:</w:t>
      </w:r>
      <w:r>
        <w:t xml:space="preserve"> RAin Dr. Carola Boekenkamp (LL.M. London), Fachanwältin für Internationales Wirtschaftsrecht</w:t>
      </w:r>
    </w:p>
    <w:p>
      <w:pPr>
        <w:jc w:val="left"/>
      </w:pPr>
      <w:r>
        <w:rPr>
          <w:b/>
        </w:rPr>
        <w:t>Datum Erstbesprechung:</w:t>
      </w:r>
      <w:r>
        <w:t xml:space="preserve"> 14. März 2026, 10:00–14:30 Uhr, Kanzleibüro Frankfurt</w:t>
      </w:r>
    </w:p>
    <w:p/>
    <w:p>
      <w:pPr>
        <w:pStyle w:val="Heading2"/>
      </w:pPr>
      <w:r>
        <w:rPr>
          <w:rFonts w:ascii="Times New Roman" w:hAnsi="Times New Roman"/>
        </w:rPr>
        <w:t>1. Mandatserteilung und Vollmacht</w:t>
      </w:r>
    </w:p>
    <w:p>
      <w:pPr>
        <w:jc w:val="left"/>
      </w:pPr>
      <w:r>
        <w:t>Die Werkmann Anlagentechnik AG (nachfolgend: Mandantin) erteilte der Kanzlei Salzgitter, Boekenkamp &amp; Trautmannsdorf am 14. März 2026 durch GF Dr. Werkmann-Lottermann eine umfassende Vollmacht zur Vertretung in allen nachfolgend beschriebenen Verfahren und Verfahrenssträngen. Die Vollmacht umfasst ausdrücklich:</w:t>
      </w:r>
    </w:p>
    <w:p>
      <w:pPr>
        <w:pStyle w:val="ListBullet"/>
      </w:pPr>
      <w:r>
        <w:t>Vertretung gegenüber dem Bundesamt für Wirtschaft und Ausfuhrkontrolle (BAFA), Eschborn, im OWi-Verfahren BL-22-4188/26</w:t>
      </w:r>
    </w:p>
    <w:p>
      <w:pPr>
        <w:pStyle w:val="ListBullet"/>
      </w:pPr>
      <w:r>
        <w:t>Vertretung gegenüber dem Bundesministerium für Wirtschaft und Klimaschutz (BMWK), Berlin, im Investitionsprüfverfahren 13-IPR-66/2026</w:t>
      </w:r>
    </w:p>
    <w:p>
      <w:pPr>
        <w:pStyle w:val="ListBullet"/>
      </w:pPr>
      <w:r>
        <w:t>Vertretung im ICC-Schiedsverfahren Paris, Case No. 28-441/SCH/MS</w:t>
      </w:r>
    </w:p>
    <w:p>
      <w:pPr>
        <w:pStyle w:val="ListBullet"/>
      </w:pPr>
      <w:r>
        <w:t>Prozessvertretung vor dem Landgericht Frankfurt am Main, Az. 3-21 O 144/26</w:t>
      </w:r>
    </w:p>
    <w:p>
      <w:pPr>
        <w:pStyle w:val="ListBullet"/>
      </w:pPr>
      <w:r>
        <w:t>Korrespondenz mit US-Behörden (OFAC, BIS, State Department) und Koordination mit US-amerikanischem Kooperationsanwalt (Brösel Holzapfel &amp; Partner LLP, Washington D.C.)</w:t>
      </w:r>
    </w:p>
    <w:p>
      <w:pPr>
        <w:pStyle w:val="ListBullet"/>
      </w:pPr>
      <w:r>
        <w:t>Interne Compliance-Untersuchung (Internal Investigation) und Begleitung eines möglichen ICP-Audits</w:t>
      </w:r>
    </w:p>
    <w:p>
      <w:pPr>
        <w:jc w:val="left"/>
      </w:pPr>
      <w:r>
        <w:t>Die Originalvollmacht wurde notariell beglaubigt und liegt der Akte als Anlage 01/A bei.</w:t>
      </w:r>
    </w:p>
    <w:p/>
    <w:p>
      <w:pPr>
        <w:pStyle w:val="Heading2"/>
      </w:pPr>
      <w:r>
        <w:rPr>
          <w:rFonts w:ascii="Times New Roman" w:hAnsi="Times New Roman"/>
        </w:rPr>
        <w:t>2. Sachverhalt laut Erstbesprechung (Zusammenfassung)</w:t>
      </w:r>
    </w:p>
    <w:p>
      <w:pPr>
        <w:pStyle w:val="Heading3"/>
      </w:pPr>
      <w:r>
        <w:rPr>
          <w:rFonts w:ascii="Times New Roman" w:hAnsi="Times New Roman"/>
        </w:rPr>
        <w:t>2.1 Unternehmensportrait</w:t>
      </w:r>
    </w:p>
    <w:p>
      <w:pPr>
        <w:jc w:val="left"/>
      </w:pPr>
      <w:r>
        <w:t>Die Werkmann Anlagentechnik AG ist ein im Handelsregister Mannheim (HRB 28741) eingetragenes Unternehmen mit Sitz in Mannheim, gegründet 1978 durch Ernst-Jürgen Werkmann (Vater von Dr. Hannes Werkmann-Lottermann). Das Unternehmen beschäftigt 480 Mitarbeiter an drei Standorten: Mannheim (Hauptwerk, Verwaltung, F&amp;E), Worms (Fertigungszentrum für Hochdruckkomponenten), Lörrach (Montage und Qualitätskontrolle). Umsatz 2025: ca. 187 Millionen Euro. Die Mandantin hält 100 % der Werkmann Pharma Inc. (Delaware, operativ: Boston, MA) sowie 51 % der Werkmann Middle East FZCO (Dubai).</w:t>
      </w:r>
    </w:p>
    <w:p>
      <w:pPr>
        <w:jc w:val="left"/>
      </w:pPr>
      <w:r>
        <w:t>Kernprodukte: Präzisions-Mahlanlagen für pharmazeutische Wirkstoffe (Typ PMA-Serie), Mikrofluidik-Reaktoren (Typ MFR-Serie) für Laborsynthese, Prozessautomation und Durchflusschemie. Zertifizierungen: ISO 9001:2015, ATEX-Richtlinie 2014/34/EU, FDA 21 CFR Part 11 (Werkmann Pharma Inc.).</w:t>
      </w:r>
    </w:p>
    <w:p>
      <w:pPr>
        <w:pStyle w:val="Heading3"/>
      </w:pPr>
      <w:r>
        <w:rPr>
          <w:rFonts w:ascii="Times New Roman" w:hAnsi="Times New Roman"/>
        </w:rPr>
        <w:t>2.2 Liefervorgang MFR-3400X — Iran-Komplex</w:t>
      </w:r>
    </w:p>
    <w:p>
      <w:pPr>
        <w:jc w:val="left"/>
      </w:pPr>
      <w:r>
        <w:t>Im Zeitraum August 2024 bis Oktober 2024 lieferte die Mandantin drei Einheiten des Mikrofluidik-Reaktors MFR-3400X (Seriennummern MFR-3400X-0092 bis -0094) an die Spengler Engineering AG, Schwarztorstraße 48, 3007 Bern (Schweiz). Die Spengler Engineering AG trat dabei als Endabnehmer auf und legte eine Endverbleibserklärung (End-User Certificate, EUC) vor, in der sie die ausschließliche Eigennutzung des Geräts zu Forschungszwecken bestätigte.</w:t>
      </w:r>
    </w:p>
    <w:p>
      <w:pPr>
        <w:jc w:val="left"/>
      </w:pPr>
      <w:r>
        <w:t>Tatsächlich — wie sich aus späteren Erkenntnissen ergibt — wurden die Geräte über eine weitere Zwischenstufe (Spengler Engineering AG → Transcaucasia Trade GmbH, Zürich → Razi Vaccine and Serum Research Institute, Karaj, Iran) weitergeleitet. Das Razi Vaccine Institute ist eine staatliche iranische Einrichtung, die unter anderem im Bereich der Bioprozesstechnik aktiv ist und nach Erkenntnissen westlicher Nachrichtendienste grundsätzlich duale Nutzungsszenarien nicht ausschließt.</w:t>
      </w:r>
    </w:p>
    <w:p>
      <w:pPr>
        <w:jc w:val="left"/>
      </w:pPr>
      <w:r>
        <w:t>Der MFR-3400X ist im Anhang I der Dual-Use-Verordnung (EU) 2021/821 nicht explizit gelistet. Intern geprüft — und als Ergebnis der internen Compliance-Sichtung im Februar 2026 bestätigt — wird jedoch ein möglicher Bezug zu den Technologien der Kategorie 2B350 (Equipment for the production of chemical precursors) bzw. 1C350 (Chemische Substanzen; Dual-Use im Biowaffenkontext) des Anhangs I zur Dual-Use-VO. Anhang IV der Dual-Use-VO (besonders sensible Güter mit Ausfuhrbeschränkungen auch innerhalb der EU) war Gegenstand der BAFA-Prüfung.</w:t>
      </w:r>
    </w:p>
    <w:p>
      <w:pPr>
        <w:jc w:val="left"/>
      </w:pPr>
      <w:r>
        <w:t>Das BAFA leitete mit Bescheid vom 03. März 2026 (Az. BAFA OWi BL-22-4188/26) ein Ordnungswidrigkeitenverfahren gemäß § 18 Abs. 1 Nr. 1 lit. b AWG i.V.m. Art. 3 Dual-Use-VO (EU) 2021/821 ein und übersandte ein Anhörungsschreiben mit einer Frist bis zum 30. April 2026.</w:t>
      </w:r>
    </w:p>
    <w:p>
      <w:pPr>
        <w:pStyle w:val="Heading3"/>
      </w:pPr>
      <w:r>
        <w:rPr>
          <w:rFonts w:ascii="Times New Roman" w:hAnsi="Times New Roman"/>
        </w:rPr>
        <w:t>2.3 OFAC- und ITAR/EAR-Risiken</w:t>
      </w:r>
    </w:p>
    <w:p>
      <w:pPr>
        <w:jc w:val="left"/>
      </w:pPr>
      <w:r>
        <w:t>Die Werkmann Pharma Inc. (Boston) vertreibt Komponenten des MFR-3400X auf dem US-Markt und nutzt dabei US-amerikanische Lieferanten für Steuerungssoftware und Elektronikmodule. Es besteht das Risiko, dass US-amerikanische Exportkontrollvorschriften (EAR, 15 C.F.R. Parts 730–774; ITAR, 22 C.F.R. Parts 120–130) verletzt wurden, soweit die re-exportierten Softwarekomponenten Iran-relevante Transaktionen berühren. OFAC hat nach vorliegender Information eine Anfrage an Werkmann Pharma Inc. gerichtet (Referenz OFAC/SDN/IRN-2026-00448). Eine SDN-Listung der Muttergesellschaft wäre für das gesamte Geschäftsmodell existenzbedrohend.</w:t>
      </w:r>
    </w:p>
    <w:p>
      <w:pPr>
        <w:jc w:val="left"/>
      </w:pPr>
      <w:r>
        <w:t>Verschärfend: Ein ehemaliger Werkmann-Mitarbeiter (Zubair Nasseri, IT-Abteilung Mannheim, ausgeschieden Januar 2025) ist nach Kenntnis der Mandantin nach Teheran ausgewandert; Reverse-Engineering-Risiko hinsichtlich der MFR-Software-IP kann nicht ausgeschlossen werden.</w:t>
      </w:r>
    </w:p>
    <w:p>
      <w:pPr>
        <w:pStyle w:val="Heading3"/>
      </w:pPr>
      <w:r>
        <w:rPr>
          <w:rFonts w:ascii="Times New Roman" w:hAnsi="Times New Roman"/>
        </w:rPr>
        <w:t>2.4 Al-Quwairy-Komplex (Korruption Saudi-Arabien)</w:t>
      </w:r>
    </w:p>
    <w:p>
      <w:pPr>
        <w:jc w:val="left"/>
      </w:pPr>
      <w:r>
        <w:t>Der exklusive Handelsvertreter der Mandantin in Saudi-Arabien, Al-Quwairy Trading LLC (CR-Nr. 4030142877, Riad), hat nach Angaben des Mandanten im Zuge einer Auftragsvorbereitung (Angebot an das Saudi Food and Drug Authority, SFDA, über 1,6 Millionen USD) einen Betrag von 380.000 USD an einen Beamten des saudischen Beschaffungsministeriums (Ministerium für Industrie und Mineralressourcen, MIM) ausgezahlt. Die Mandantin hat hiervon im Rahmen einer internen Revision im Januar 2026 Kenntnis erhalten. Strafrechtliche und zivilrechtliche Risiken nach §§ 299, 299b, 334 StGB sowie US FCPA sind zu bewerten.</w:t>
      </w:r>
    </w:p>
    <w:p>
      <w:pPr>
        <w:pStyle w:val="Heading3"/>
      </w:pPr>
      <w:r>
        <w:rPr>
          <w:rFonts w:ascii="Times New Roman" w:hAnsi="Times New Roman"/>
        </w:rPr>
        <w:t>2.5 Investitionsprüfung TianYuan / BMWK</w:t>
      </w:r>
    </w:p>
    <w:p>
      <w:pPr>
        <w:jc w:val="left"/>
      </w:pPr>
      <w:r>
        <w:t>Die TianYuan Industrial Group Co., Ltd. (Suzhou, China, börsennotiert: Shenzhen Stock Exchange) hat am 20. Dezember 2025 ein verbindliches Angebot (Binding Offer) zum Erwerb von 28 % der Anteile an der Werkmann Anlagentechnik AG zu einem Kaufpreis von 52,4 Millionen Euro unterbreitet. Das BMWK hat mit Schreiben vom 22. Januar 2026 das sektorspezifische Investitionsprüfverfahren nach § 55 Abs. 1 AWV eingeleitet (Az. 13-IPR-66/2026). Die Mandantin hat als Erwerberin und Zielunternehmen gemeinsam mit TianYuan Stellung zu nehmen.</w:t>
      </w:r>
    </w:p>
    <w:p>
      <w:pPr>
        <w:pStyle w:val="Heading3"/>
      </w:pPr>
      <w:r>
        <w:rPr>
          <w:rFonts w:ascii="Times New Roman" w:hAnsi="Times New Roman"/>
        </w:rPr>
        <w:t>2.6 ICC-Schiedsverfahren BioMechanix</w:t>
      </w:r>
    </w:p>
    <w:p>
      <w:pPr>
        <w:jc w:val="left"/>
      </w:pPr>
      <w:r>
        <w:t>Die indische BioMechanix Pvt. Ltd. (Pune, Maharashtra, CIN: U33000MH2010PTC204566) schuldet der Mandantin 4,8 Millionen Euro aus einem Liefervertrag für fünf Anlagen der PMA-7000-Serie (Vertrag vom 15. September 2021, Amendment No. 2 vom 07. April 2023). BioMechanix hat die Schlusszahlung (Milestone 4) trotz Abnahmeprotokoll vom 14. November 2024 nicht geleistet. Werkmann hat am 18. Februar 2026 einen Request for Arbitration beim ICC International Court of Arbitration eingereicht; die Registrierung ist unter Case No. 28-441/SCH/MS erfolgt. Schiedsort: Paris; Vertragssprache: Englisch; anzuwendendes Recht: deutsches materielles Recht (§ 12 des Liefervertrags).</w:t>
      </w:r>
    </w:p>
    <w:p>
      <w:pPr>
        <w:pStyle w:val="Heading3"/>
      </w:pPr>
      <w:r>
        <w:rPr>
          <w:rFonts w:ascii="Times New Roman" w:hAnsi="Times New Roman"/>
        </w:rPr>
        <w:t>2.7 CBAM-Fehlmeldungen und Russland-Sanktionen</w:t>
      </w:r>
    </w:p>
    <w:p>
      <w:pPr>
        <w:jc w:val="left"/>
      </w:pPr>
      <w:r>
        <w:t>Die Mandantin bezieht Aluminiumguss-Bauteile von der türkischen Firma Anadolu Döküm Sanayi A.Ş. (Bursa). In den CBAM-Meldungen für das Jahr 2024 (Carbon Border Adjustment Mechanism, VO (EU) 2023/956) wurden die Ursprungsangaben für elf Verbringungsvorgänge fehlerhaft als „Türkei/eigene Fertigung" deklariert, obwohl der Aluminium-Rohrling nach vorliegenden Hinweisen aus russischer Produktion stammt und lediglich in der Türkei weiterverarbeitet wurde. Dies berührt nicht nur das CBAM-Meldewesen, sondern auch EU-Sanktionen gegen Russland (19. Sanktionspaket, Art. 3g der VO (EU) 767/2023) sowie potenziell die UK-Sanktionen nach SAMLA 2018 (The Russia (Sanctions) (EU Exit) Regulations 2019, SI 2019/855).</w:t>
      </w:r>
    </w:p>
    <w:p/>
    <w:p>
      <w:pPr>
        <w:pStyle w:val="Heading2"/>
      </w:pPr>
      <w:r>
        <w:rPr>
          <w:rFonts w:ascii="Times New Roman" w:hAnsi="Times New Roman"/>
        </w:rPr>
        <w:t>3. Mandatsschwerpunkte und Teamaufstellung</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Verfahrensstrang</w:t>
            </w:r>
          </w:p>
        </w:tc>
        <w:tc>
          <w:tcPr>
            <w:tcW w:type="dxa" w:w="3024"/>
          </w:tcPr>
          <w:p>
            <w:r>
              <w:rPr>
                <w:rFonts w:ascii="Times New Roman" w:hAnsi="Times New Roman"/>
                <w:b/>
                <w:sz w:val="20"/>
              </w:rPr>
              <w:t>Bearbeitung</w:t>
            </w:r>
          </w:p>
        </w:tc>
        <w:tc>
          <w:tcPr>
            <w:tcW w:type="dxa" w:w="3024"/>
          </w:tcPr>
          <w:p>
            <w:r>
              <w:rPr>
                <w:rFonts w:ascii="Times New Roman" w:hAnsi="Times New Roman"/>
                <w:b/>
                <w:sz w:val="20"/>
              </w:rPr>
              <w:t>Kooperation</w:t>
            </w:r>
          </w:p>
        </w:tc>
      </w:tr>
      <w:tr>
        <w:tc>
          <w:tcPr>
            <w:tcW w:type="dxa" w:w="3024"/>
          </w:tcPr>
          <w:p>
            <w:r>
              <w:rPr>
                <w:rFonts w:ascii="Times New Roman" w:hAnsi="Times New Roman"/>
                <w:sz w:val="20"/>
              </w:rPr>
              <w:t>BAFA OWi / Dual-Use</w:t>
            </w:r>
          </w:p>
        </w:tc>
        <w:tc>
          <w:tcPr>
            <w:tcW w:type="dxa" w:w="3024"/>
          </w:tcPr>
          <w:p>
            <w:r>
              <w:rPr>
                <w:rFonts w:ascii="Times New Roman" w:hAnsi="Times New Roman"/>
                <w:sz w:val="20"/>
              </w:rPr>
              <w:t>Dr. Boekenkamp, Ass. Rüdiger Pfaff</w:t>
            </w:r>
          </w:p>
        </w:tc>
        <w:tc>
          <w:tcPr>
            <w:tcW w:type="dxa" w:w="3024"/>
          </w:tcPr>
          <w:p>
            <w:r>
              <w:rPr>
                <w:rFonts w:ascii="Times New Roman" w:hAnsi="Times New Roman"/>
                <w:sz w:val="20"/>
              </w:rPr>
              <w:t>BAFA-Behördenkorrespondenz</w:t>
            </w:r>
          </w:p>
        </w:tc>
      </w:tr>
      <w:tr>
        <w:tc>
          <w:tcPr>
            <w:tcW w:type="dxa" w:w="3024"/>
          </w:tcPr>
          <w:p>
            <w:r>
              <w:rPr>
                <w:rFonts w:ascii="Times New Roman" w:hAnsi="Times New Roman"/>
                <w:sz w:val="20"/>
              </w:rPr>
              <w:t>OFAC / EAR / ITAR</w:t>
            </w:r>
          </w:p>
        </w:tc>
        <w:tc>
          <w:tcPr>
            <w:tcW w:type="dxa" w:w="3024"/>
          </w:tcPr>
          <w:p>
            <w:r>
              <w:rPr>
                <w:rFonts w:ascii="Times New Roman" w:hAnsi="Times New Roman"/>
                <w:sz w:val="20"/>
              </w:rPr>
              <w:t>Dr. Boekenkamp</w:t>
            </w:r>
          </w:p>
        </w:tc>
        <w:tc>
          <w:tcPr>
            <w:tcW w:type="dxa" w:w="3024"/>
          </w:tcPr>
          <w:p>
            <w:r>
              <w:rPr>
                <w:rFonts w:ascii="Times New Roman" w:hAnsi="Times New Roman"/>
                <w:sz w:val="20"/>
              </w:rPr>
              <w:t>Brösel Holzapfel &amp; Partner Washington</w:t>
            </w:r>
          </w:p>
        </w:tc>
      </w:tr>
      <w:tr>
        <w:tc>
          <w:tcPr>
            <w:tcW w:type="dxa" w:w="3024"/>
          </w:tcPr>
          <w:p>
            <w:r>
              <w:rPr>
                <w:rFonts w:ascii="Times New Roman" w:hAnsi="Times New Roman"/>
                <w:sz w:val="20"/>
              </w:rPr>
              <w:t>StGB / FCPA Korruption</w:t>
            </w:r>
          </w:p>
        </w:tc>
        <w:tc>
          <w:tcPr>
            <w:tcW w:type="dxa" w:w="3024"/>
          </w:tcPr>
          <w:p>
            <w:r>
              <w:rPr>
                <w:rFonts w:ascii="Times New Roman" w:hAnsi="Times New Roman"/>
                <w:sz w:val="20"/>
              </w:rPr>
              <w:t>RAin Tamara Goller-Neuss</w:t>
            </w:r>
          </w:p>
        </w:tc>
        <w:tc>
          <w:tcPr>
            <w:tcW w:type="dxa" w:w="3024"/>
          </w:tcPr>
          <w:p>
            <w:r>
              <w:rPr>
                <w:rFonts w:ascii="Times New Roman" w:hAnsi="Times New Roman"/>
                <w:sz w:val="20"/>
              </w:rPr>
              <w:t>Forensik: KPMG Law</w:t>
            </w:r>
          </w:p>
        </w:tc>
      </w:tr>
      <w:tr>
        <w:tc>
          <w:tcPr>
            <w:tcW w:type="dxa" w:w="3024"/>
          </w:tcPr>
          <w:p>
            <w:r>
              <w:rPr>
                <w:rFonts w:ascii="Times New Roman" w:hAnsi="Times New Roman"/>
                <w:sz w:val="20"/>
              </w:rPr>
              <w:t>BMWK Investitionsprüfung</w:t>
            </w:r>
          </w:p>
        </w:tc>
        <w:tc>
          <w:tcPr>
            <w:tcW w:type="dxa" w:w="3024"/>
          </w:tcPr>
          <w:p>
            <w:r>
              <w:rPr>
                <w:rFonts w:ascii="Times New Roman" w:hAnsi="Times New Roman"/>
                <w:sz w:val="20"/>
              </w:rPr>
              <w:t>Dr. Boekenkamp, Ass. Klaus Wiethölter</w:t>
            </w:r>
          </w:p>
        </w:tc>
        <w:tc>
          <w:tcPr>
            <w:tcW w:type="dxa" w:w="3024"/>
          </w:tcPr>
          <w:p>
            <w:r>
              <w:rPr>
                <w:rFonts w:ascii="Times New Roman" w:hAnsi="Times New Roman"/>
                <w:sz w:val="20"/>
              </w:rPr>
              <w:t>BMWK-Referat IB4</w:t>
            </w:r>
          </w:p>
        </w:tc>
      </w:tr>
      <w:tr>
        <w:tc>
          <w:tcPr>
            <w:tcW w:type="dxa" w:w="3024"/>
          </w:tcPr>
          <w:p>
            <w:r>
              <w:rPr>
                <w:rFonts w:ascii="Times New Roman" w:hAnsi="Times New Roman"/>
                <w:sz w:val="20"/>
              </w:rPr>
              <w:t>ICC Schiedsverfahren</w:t>
            </w:r>
          </w:p>
        </w:tc>
        <w:tc>
          <w:tcPr>
            <w:tcW w:type="dxa" w:w="3024"/>
          </w:tcPr>
          <w:p>
            <w:r>
              <w:rPr>
                <w:rFonts w:ascii="Times New Roman" w:hAnsi="Times New Roman"/>
                <w:sz w:val="20"/>
              </w:rPr>
              <w:t>RAin Dr. Boekenkamp, RAin Katharina Schreiner</w:t>
            </w:r>
          </w:p>
        </w:tc>
        <w:tc>
          <w:tcPr>
            <w:tcW w:type="dxa" w:w="3024"/>
          </w:tcPr>
          <w:p>
            <w:r>
              <w:rPr>
                <w:rFonts w:ascii="Times New Roman" w:hAnsi="Times New Roman"/>
                <w:sz w:val="20"/>
              </w:rPr>
              <w:t>ICC Paris</w:t>
            </w:r>
          </w:p>
        </w:tc>
      </w:tr>
      <w:tr>
        <w:tc>
          <w:tcPr>
            <w:tcW w:type="dxa" w:w="3024"/>
          </w:tcPr>
          <w:p>
            <w:r>
              <w:rPr>
                <w:rFonts w:ascii="Times New Roman" w:hAnsi="Times New Roman"/>
                <w:sz w:val="20"/>
              </w:rPr>
              <w:t>CBAM / Sanktionen</w:t>
            </w:r>
          </w:p>
        </w:tc>
        <w:tc>
          <w:tcPr>
            <w:tcW w:type="dxa" w:w="3024"/>
          </w:tcPr>
          <w:p>
            <w:r>
              <w:rPr>
                <w:rFonts w:ascii="Times New Roman" w:hAnsi="Times New Roman"/>
                <w:sz w:val="20"/>
              </w:rPr>
              <w:t>Ass. Pfaff</w:t>
            </w:r>
          </w:p>
        </w:tc>
        <w:tc>
          <w:tcPr>
            <w:tcW w:type="dxa" w:w="3024"/>
          </w:tcPr>
          <w:p>
            <w:r>
              <w:rPr>
                <w:rFonts w:ascii="Times New Roman" w:hAnsi="Times New Roman"/>
                <w:sz w:val="20"/>
              </w:rPr>
              <w:t>Zolldeklarant Werkmann</w:t>
            </w:r>
          </w:p>
        </w:tc>
      </w:tr>
    </w:tbl>
    <w:p/>
    <w:p>
      <w:pPr>
        <w:pStyle w:val="Heading2"/>
      </w:pPr>
      <w:r>
        <w:rPr>
          <w:rFonts w:ascii="Times New Roman" w:hAnsi="Times New Roman"/>
        </w:rPr>
        <w:t>4. Sofortmaßnahmen</w:t>
      </w:r>
    </w:p>
    <w:p>
      <w:pPr>
        <w:pStyle w:val="ListNumber"/>
      </w:pPr>
      <w:r>
        <w:t>Sicherstellung aller Exportdokumente (Auftragsbestätigungen, EUC, Zollanmeldungen) — Werkmann IT-Leiter angewiesen; Dokumentensperre ab 14. März 2026.</w:t>
      </w:r>
    </w:p>
    <w:p>
      <w:pPr>
        <w:pStyle w:val="ListNumber"/>
      </w:pPr>
      <w:r>
        <w:t>Anweisung an alle Mitarbeiter: keine Kommunikation mit BAFA, OFAC oder sonstigen Behörden ohne Freigabe durch Kanzlei.</w:t>
      </w:r>
    </w:p>
    <w:p>
      <w:pPr>
        <w:pStyle w:val="ListNumber"/>
      </w:pPr>
      <w:r>
        <w:t>Beauftragung KPMG Law für forensische Buchprüfung Al-Quwairy-Zahlungsströme.</w:t>
      </w:r>
    </w:p>
    <w:p>
      <w:pPr>
        <w:pStyle w:val="ListNumber"/>
      </w:pPr>
      <w:r>
        <w:t>Information an Aufsichtsrat am 17. März 2026 (geplant).</w:t>
      </w:r>
    </w:p>
    <w:p>
      <w:pPr>
        <w:pStyle w:val="ListNumber"/>
      </w:pPr>
      <w:r>
        <w:t>Prüfung Selbstanzeige gemäß § 22 OWiG: Entscheidungsfrist bis zum 07. April 2026.</w:t>
      </w:r>
    </w:p>
    <w:p>
      <w:pPr>
        <w:pStyle w:val="ListNumber"/>
      </w:pPr>
      <w:r>
        <w:t>Mandatsanbahnung Brösel Holzapfel &amp; Partner Washington — erste Telefonkonferenz für 20. März 2026 geplant.</w:t>
      </w:r>
    </w:p>
    <w:p/>
    <w:p>
      <w:pPr>
        <w:pStyle w:val="Heading2"/>
      </w:pPr>
      <w:r>
        <w:rPr>
          <w:rFonts w:ascii="Times New Roman" w:hAnsi="Times New Roman"/>
        </w:rPr>
        <w:t>5. Nächste Besprechung</w:t>
      </w:r>
    </w:p>
    <w:p>
      <w:pPr>
        <w:jc w:val="left"/>
      </w:pPr>
      <w:r>
        <w:t>Zweiter Besprechungstermin: 28. März 2026, 09:00 Uhr, Kanzleibüro Frankfurt. Thema: Auswertung sichergestellter Unterlagen; Entscheidung über Selbstanzeige; Strategie OFAC-Response.</w:t>
      </w:r>
    </w:p>
    <w:p/>
    <w:p>
      <w:pPr>
        <w:jc w:val="left"/>
      </w:pPr>
      <w:r>
        <w:rPr>
          <w:i/>
        </w:rPr>
        <w:t>Notiz erstellt durch RAin Dr. Carola Boekenkamp, 14.03.2026. Vertraulich — Mandatsgeheimnis.</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Werkmann Anlagentechnik AG</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Werkmann Anlagentechnik AG</w:t>
    </w:r>
  </w:p>
  <w:p>
    <w:pPr>
      <w:jc w:val="left"/>
      <w:pBdr>
        <w:bottom w:val="single" w:sz="6" w:space="2" w:color="3B3F45"/>
      </w:pBdr>
    </w:pPr>
    <w:r>
      <w:rPr>
        <w:rFonts w:ascii="Times New Roman" w:hAnsi="Times New Roman"/>
        <w:color w:val="6B6B66"/>
        <w:sz w:val="16"/>
      </w:rPr>
      <w:t>Industriestraße 88, 68169 Mannheim · Aktenzeichen: BAFA OWi BL-22-4188/26 | BMWK 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