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Aktenstück 02 — BAFA OWi-Verfahren: Dual-Use-Verstoß § 18 AWG / VO (EU) 2021/821</w:t>
      </w:r>
    </w:p>
    <w:p>
      <w:pPr>
        <w:jc w:val="left"/>
      </w:pPr>
      <w:r>
        <w:rPr>
          <w:b/>
        </w:rPr>
        <w:t>Aktenzeichen:</w:t>
      </w:r>
      <w:r>
        <w:t xml:space="preserve"> BAFA OWi BL-22-4188/26</w:t>
      </w:r>
    </w:p>
    <w:p>
      <w:pPr>
        <w:jc w:val="left"/>
      </w:pPr>
      <w:r>
        <w:rPr>
          <w:b/>
        </w:rPr>
        <w:t>Behörde:</w:t>
      </w:r>
      <w:r>
        <w:t xml:space="preserve"> Bundesamt für Wirtschaft und Ausfuhrkontrolle (BAFA), Frankfurter Str. 29–31, 65760 Eschborn</w:t>
      </w:r>
    </w:p>
    <w:p>
      <w:pPr>
        <w:jc w:val="left"/>
      </w:pPr>
      <w:r>
        <w:rPr>
          <w:b/>
        </w:rPr>
        <w:t>Betroffene:</w:t>
      </w:r>
      <w:r>
        <w:t xml:space="preserve"> Werkmann Anlagentechnik AG, Mannheim; Dr. Hannes Werkmann-Lottermann (persönlich als Betroffener als GF)</w:t>
      </w:r>
    </w:p>
    <w:p>
      <w:pPr>
        <w:jc w:val="left"/>
      </w:pPr>
      <w:r>
        <w:rPr>
          <w:b/>
        </w:rPr>
        <w:t>Rechtsgrundlage:</w:t>
      </w:r>
      <w:r>
        <w:t xml:space="preserve"> § 18 Abs. 1 Nr. 1 lit. b AWG; Art. 3 Abs. 1 VO (EU) 2021/821; §§ 17, 30, 130 OWiG</w:t>
      </w:r>
    </w:p>
    <w:p>
      <w:pPr>
        <w:jc w:val="left"/>
      </w:pPr>
      <w:r>
        <w:rPr>
          <w:b/>
        </w:rPr>
        <w:t>Eingangsdatum Anhörungsschreiben:</w:t>
      </w:r>
      <w:r>
        <w:t xml:space="preserve"> 03. März 2026</w:t>
      </w:r>
    </w:p>
    <w:p>
      <w:pPr>
        <w:jc w:val="left"/>
      </w:pPr>
      <w:r>
        <w:rPr>
          <w:b/>
        </w:rPr>
        <w:t>Antwortfrist:</w:t>
      </w:r>
      <w:r>
        <w:t xml:space="preserve"> 30. April 2026</w:t>
      </w:r>
    </w:p>
    <w:p/>
    <w:p>
      <w:pPr>
        <w:pStyle w:val="Heading2"/>
      </w:pPr>
      <w:r>
        <w:rPr>
          <w:rFonts w:ascii="Times New Roman" w:hAnsi="Times New Roman"/>
        </w:rPr>
        <w:t>1. Rechtlicher Rahmen</w:t>
      </w:r>
    </w:p>
    <w:p>
      <w:pPr>
        <w:pStyle w:val="Heading3"/>
      </w:pPr>
      <w:r>
        <w:rPr>
          <w:rFonts w:ascii="Times New Roman" w:hAnsi="Times New Roman"/>
        </w:rPr>
        <w:t>1.1 Exportkontrollrecht — Grundstruktur</w:t>
      </w:r>
    </w:p>
    <w:p>
      <w:pPr>
        <w:jc w:val="left"/>
      </w:pPr>
      <w:r>
        <w:t>Das Exportkontrollrecht der Europäischen Union für Dual-Use-Güter beruht seit dem 09. September 2021 auf der Verordnung (EU) 2021/821 des Europäischen Parlaments und des Rates vom 20. Mai 2021 über eine Unionsregelung für die Kontrolle der Ausfuhr, der Vermittlung, der technischen Hilfe, der Durchfuhr und der Verbringung betreffend Güter mit doppeltem Verwendungszweck (Dual-Use-VO). Diese Verordnung ersetzt die Vorgängerverordnung VO (EG) 428/2009.</w:t>
      </w:r>
    </w:p>
    <w:p>
      <w:pPr>
        <w:jc w:val="left"/>
      </w:pPr>
      <w:r>
        <w:t>Ergänzend gilt im deutschen Recht das Außenwirtschaftsgesetz (AWG, BGBl. I 2013, S. 1482) und die Außenwirtschaftsverordnung (AWV, BGBl. I 2013, S. 2865), zuletzt geändert durch die Fünfzigste Verordnung zur Änderung der AWV vom 22. Dezember 2023 (BGBl. I 2023, Nr. 392).</w:t>
      </w:r>
    </w:p>
    <w:p>
      <w:pPr>
        <w:jc w:val="left"/>
      </w:pPr>
      <w:r>
        <w:t>Für Güter, die im Anhang I der Dual-Use-VO gelistet sind, besteht grundsätzlich eine Genehmigungspflicht bei der Ausfuhr aus der EU. Güter des Anhangs IV (besonders sensible Güter) unterliegen zusätzlich der Verbringungskontrolle innerhalb der EU sowie verschärften Genehmigungsanforderungen.</w:t>
      </w:r>
    </w:p>
    <w:p>
      <w:pPr>
        <w:pStyle w:val="Heading3"/>
      </w:pPr>
      <w:r>
        <w:rPr>
          <w:rFonts w:ascii="Times New Roman" w:hAnsi="Times New Roman"/>
        </w:rPr>
        <w:t>1.2 Tatbestand § 18 Abs. 1 Nr. 1 AWG</w:t>
      </w:r>
    </w:p>
    <w:p>
      <w:pPr>
        <w:jc w:val="left"/>
      </w:pPr>
      <w:r>
        <w:t>§ 18 Abs. 1 Nr. 1 lit. b AWG lautet (Auszug):</w:t>
      </w:r>
    </w:p>
    <w:p>
      <w:pPr>
        <w:ind w:left="567"/>
      </w:pPr>
      <w:r>
        <w:rPr>
          <w:i/>
        </w:rPr>
        <w:t>„Ordnungswidrig handelt, wer entgegen Art. 3 Abs. 1 der Verordnung (EU) 2021/821 ein Gut ohne die erforderliche Genehmigung ausführt."</w:t>
      </w:r>
    </w:p>
    <w:p>
      <w:pPr>
        <w:jc w:val="left"/>
      </w:pPr>
      <w:r>
        <w:t>Die Ordnungswidrigkeit kann gemäß § 18 Abs. 8 AWG mit einer Geldbuße bis zu 500.000 Euro geahndet werden. Im Falle eines erheblichen wirtschaftlichen Vorteils kann die Geldbuße den Rahmen überschreiten (§ 17 Abs. 4 OWiG: bis zum Dreifachen des erlangten Vorteils).</w:t>
      </w:r>
    </w:p>
    <w:p>
      <w:pPr>
        <w:jc w:val="left"/>
      </w:pPr>
      <w:r>
        <w:t>Bei vorsätzlicher Begehung kommt ferner eine strafrechtliche Verfolgung nach § 17 AWG (Freiheitsstrafe bis zu fünf Jahren oder Geldstrafe) in Betracht. Die Abgrenzung zwischen vorsätzlichem Verstoß (Straftat) und leichtfertigem bzw. fahrlässigem Verstoß (OWi) ist vorliegend von entscheidender Bedeutung.</w:t>
      </w:r>
    </w:p>
    <w:p>
      <w:pPr>
        <w:pStyle w:val="Heading3"/>
      </w:pPr>
      <w:r>
        <w:rPr>
          <w:rFonts w:ascii="Times New Roman" w:hAnsi="Times New Roman"/>
        </w:rPr>
        <w:t>1.3 Dual-Use-VO — Einordnung MFR-3400X</w:t>
      </w:r>
    </w:p>
    <w:p>
      <w:pPr>
        <w:jc w:val="left"/>
      </w:pPr>
      <w:r>
        <w:t>Der MFR-3400X (Mikrofluidik-Reaktor, Durchflussregler ± 0,1 %, maximale Prozesstemperatur 250 °C, Druckbeständigkeit 80 bar, Materialien: Hastelloy C-276 und PTFE) ist in der aktuellen Listung des Anhangs I der Dual-Use-VO nicht explizit enthalten.</w:t>
      </w:r>
    </w:p>
    <w:p>
      <w:pPr>
        <w:jc w:val="left"/>
      </w:pPr>
      <w:r>
        <w:t>Das BAFA stützt seine Ermittlungen auf zwei alternative Anknüpfungspunkte:</w:t>
      </w:r>
    </w:p>
    <w:p>
      <w:pPr>
        <w:jc w:val="left"/>
      </w:pPr>
      <w:r>
        <w:rPr>
          <w:b/>
        </w:rPr>
        <w:t>Anknüpfungspunkt 1 — Kategorie 2B350:</w:t>
      </w:r>
    </w:p>
    <w:p>
      <w:pPr>
        <w:jc w:val="left"/>
      </w:pPr>
      <w:r>
        <w:t>Die Produktnummer 2B350 des Anhangs I erfasst „Ausrüstung für die Erzeugung chemischer Kampfstoffe oder Vorläufersubstanzen", darunter insbesondere Reaktionsgefäße oder -systeme, die bestimmte technische Parameter erfüllen. Das BAFA prüft, ob der MFR-3400X als Reaktionssystem mit Hastelloy-Auskleidung und entsprechenden Druck-/Temperaturbereichen unter Kategorie 2B350.g fallen könnte.</w:t>
      </w:r>
    </w:p>
    <w:p>
      <w:pPr>
        <w:jc w:val="left"/>
      </w:pPr>
      <w:r>
        <w:rPr>
          <w:b/>
        </w:rPr>
        <w:t>Anknüpfungspunkt 2 — All-Catch-Klausel Art. 4 Dual-Use-VO:</w:t>
      </w:r>
    </w:p>
    <w:p>
      <w:pPr>
        <w:jc w:val="left"/>
      </w:pPr>
      <w:r>
        <w:t>Gemäß Art. 4 Abs. 1 VO (EU) 2021/821 kann eine Genehmigungspflicht auch für nicht gelistete Güter entstehen, wenn der Exporteur weiß oder Grund zur Annahme hat, dass die Güter für Massenvernichtungswaffen oder deren Trägersysteme bestimmt sein könnten. Das BAFA argumentiert, dass angesichts des Endabnehmers (Razi Vaccine Institute, staatliche iranische Einrichtung) sowie der Dual-Use-Dimension des MFR-3400X im Bereich der Bioprozesstechnik zumindest Anlass zu erhöhter Sorgfalt bestanden habe.</w:t>
      </w:r>
    </w:p>
    <w:p/>
    <w:p>
      <w:pPr>
        <w:pStyle w:val="Heading2"/>
      </w:pPr>
      <w:r>
        <w:rPr>
          <w:rFonts w:ascii="Times New Roman" w:hAnsi="Times New Roman"/>
        </w:rPr>
        <w:t>2. Chronologie der Ausfuhrvorgänge</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Datum</w:t>
            </w:r>
          </w:p>
        </w:tc>
        <w:tc>
          <w:tcPr>
            <w:tcW w:type="dxa" w:w="2268"/>
          </w:tcPr>
          <w:p>
            <w:r>
              <w:rPr>
                <w:rFonts w:ascii="Times New Roman" w:hAnsi="Times New Roman"/>
                <w:b/>
                <w:sz w:val="20"/>
              </w:rPr>
              <w:t>Vorgang</w:t>
            </w:r>
          </w:p>
        </w:tc>
        <w:tc>
          <w:tcPr>
            <w:tcW w:type="dxa" w:w="2268"/>
          </w:tcPr>
          <w:p>
            <w:r>
              <w:rPr>
                <w:rFonts w:ascii="Times New Roman" w:hAnsi="Times New Roman"/>
                <w:b/>
                <w:sz w:val="20"/>
              </w:rPr>
              <w:t>Beteiligte</w:t>
            </w:r>
          </w:p>
        </w:tc>
        <w:tc>
          <w:tcPr>
            <w:tcW w:type="dxa" w:w="2268"/>
          </w:tcPr>
          <w:p>
            <w:r>
              <w:rPr>
                <w:rFonts w:ascii="Times New Roman" w:hAnsi="Times New Roman"/>
                <w:b/>
                <w:sz w:val="20"/>
              </w:rPr>
              <w:t>Dokument</w:t>
            </w:r>
          </w:p>
        </w:tc>
      </w:tr>
      <w:tr>
        <w:tc>
          <w:tcPr>
            <w:tcW w:type="dxa" w:w="2268"/>
          </w:tcPr>
          <w:p>
            <w:r>
              <w:rPr>
                <w:rFonts w:ascii="Times New Roman" w:hAnsi="Times New Roman"/>
                <w:sz w:val="20"/>
              </w:rPr>
              <w:t>12.05.2024</w:t>
            </w:r>
          </w:p>
        </w:tc>
        <w:tc>
          <w:tcPr>
            <w:tcW w:type="dxa" w:w="2268"/>
          </w:tcPr>
          <w:p>
            <w:r>
              <w:rPr>
                <w:rFonts w:ascii="Times New Roman" w:hAnsi="Times New Roman"/>
                <w:sz w:val="20"/>
              </w:rPr>
              <w:t>Anfrage Spengler Engineering AG bei Werkmann-Vertrieb</w:t>
            </w:r>
          </w:p>
        </w:tc>
        <w:tc>
          <w:tcPr>
            <w:tcW w:type="dxa" w:w="2268"/>
          </w:tcPr>
          <w:p>
            <w:r>
              <w:rPr>
                <w:rFonts w:ascii="Times New Roman" w:hAnsi="Times New Roman"/>
                <w:sz w:val="20"/>
              </w:rPr>
              <w:t>Spengler, Werkmann-Vertrieb</w:t>
            </w:r>
          </w:p>
        </w:tc>
        <w:tc>
          <w:tcPr>
            <w:tcW w:type="dxa" w:w="2268"/>
          </w:tcPr>
          <w:p>
            <w:r>
              <w:rPr>
                <w:rFonts w:ascii="Times New Roman" w:hAnsi="Times New Roman"/>
                <w:sz w:val="20"/>
              </w:rPr>
              <w:t>Anlage 02/A</w:t>
            </w:r>
          </w:p>
        </w:tc>
      </w:tr>
      <w:tr>
        <w:tc>
          <w:tcPr>
            <w:tcW w:type="dxa" w:w="2268"/>
          </w:tcPr>
          <w:p>
            <w:r>
              <w:rPr>
                <w:rFonts w:ascii="Times New Roman" w:hAnsi="Times New Roman"/>
                <w:sz w:val="20"/>
              </w:rPr>
              <w:t>28.05.2024</w:t>
            </w:r>
          </w:p>
        </w:tc>
        <w:tc>
          <w:tcPr>
            <w:tcW w:type="dxa" w:w="2268"/>
          </w:tcPr>
          <w:p>
            <w:r>
              <w:rPr>
                <w:rFonts w:ascii="Times New Roman" w:hAnsi="Times New Roman"/>
                <w:sz w:val="20"/>
              </w:rPr>
              <w:t>Angebot Werkmann (Angebots-Nr. WAT-2024-CH-0081)</w:t>
            </w:r>
          </w:p>
        </w:tc>
        <w:tc>
          <w:tcPr>
            <w:tcW w:type="dxa" w:w="2268"/>
          </w:tcPr>
          <w:p>
            <w:r>
              <w:rPr>
                <w:rFonts w:ascii="Times New Roman" w:hAnsi="Times New Roman"/>
                <w:sz w:val="20"/>
              </w:rPr>
              <w:t>Werkmann</w:t>
            </w:r>
          </w:p>
        </w:tc>
        <w:tc>
          <w:tcPr>
            <w:tcW w:type="dxa" w:w="2268"/>
          </w:tcPr>
          <w:p>
            <w:r>
              <w:rPr>
                <w:rFonts w:ascii="Times New Roman" w:hAnsi="Times New Roman"/>
                <w:sz w:val="20"/>
              </w:rPr>
              <w:t>Anlage 02/B</w:t>
            </w:r>
          </w:p>
        </w:tc>
      </w:tr>
      <w:tr>
        <w:tc>
          <w:tcPr>
            <w:tcW w:type="dxa" w:w="2268"/>
          </w:tcPr>
          <w:p>
            <w:r>
              <w:rPr>
                <w:rFonts w:ascii="Times New Roman" w:hAnsi="Times New Roman"/>
                <w:sz w:val="20"/>
              </w:rPr>
              <w:t>14.06.2024</w:t>
            </w:r>
          </w:p>
        </w:tc>
        <w:tc>
          <w:tcPr>
            <w:tcW w:type="dxa" w:w="2268"/>
          </w:tcPr>
          <w:p>
            <w:r>
              <w:rPr>
                <w:rFonts w:ascii="Times New Roman" w:hAnsi="Times New Roman"/>
                <w:sz w:val="20"/>
              </w:rPr>
              <w:t>End-User Certificate Spengler Engineering AG (unterzeichnet: CEO Felix Spengler-Roth)</w:t>
            </w:r>
          </w:p>
        </w:tc>
        <w:tc>
          <w:tcPr>
            <w:tcW w:type="dxa" w:w="2268"/>
          </w:tcPr>
          <w:p>
            <w:r>
              <w:rPr>
                <w:rFonts w:ascii="Times New Roman" w:hAnsi="Times New Roman"/>
                <w:sz w:val="20"/>
              </w:rPr>
              <w:t>Spengler</w:t>
            </w:r>
          </w:p>
        </w:tc>
        <w:tc>
          <w:tcPr>
            <w:tcW w:type="dxa" w:w="2268"/>
          </w:tcPr>
          <w:p>
            <w:r>
              <w:rPr>
                <w:rFonts w:ascii="Times New Roman" w:hAnsi="Times New Roman"/>
                <w:sz w:val="20"/>
              </w:rPr>
              <w:t>Anlage 02/C</w:t>
            </w:r>
          </w:p>
        </w:tc>
      </w:tr>
      <w:tr>
        <w:tc>
          <w:tcPr>
            <w:tcW w:type="dxa" w:w="2268"/>
          </w:tcPr>
          <w:p>
            <w:r>
              <w:rPr>
                <w:rFonts w:ascii="Times New Roman" w:hAnsi="Times New Roman"/>
                <w:sz w:val="20"/>
              </w:rPr>
              <w:t>02.07.2024</w:t>
            </w:r>
          </w:p>
        </w:tc>
        <w:tc>
          <w:tcPr>
            <w:tcW w:type="dxa" w:w="2268"/>
          </w:tcPr>
          <w:p>
            <w:r>
              <w:rPr>
                <w:rFonts w:ascii="Times New Roman" w:hAnsi="Times New Roman"/>
                <w:sz w:val="20"/>
              </w:rPr>
              <w:t>Interne Exportkontrollprüfung Werkmann-Compliance-Team</w:t>
            </w:r>
          </w:p>
        </w:tc>
        <w:tc>
          <w:tcPr>
            <w:tcW w:type="dxa" w:w="2268"/>
          </w:tcPr>
          <w:p>
            <w:r>
              <w:rPr>
                <w:rFonts w:ascii="Times New Roman" w:hAnsi="Times New Roman"/>
                <w:sz w:val="20"/>
              </w:rPr>
              <w:t>Werkmann CCO Andrea Faske</w:t>
            </w:r>
          </w:p>
        </w:tc>
        <w:tc>
          <w:tcPr>
            <w:tcW w:type="dxa" w:w="2268"/>
          </w:tcPr>
          <w:p>
            <w:r>
              <w:rPr>
                <w:rFonts w:ascii="Times New Roman" w:hAnsi="Times New Roman"/>
                <w:sz w:val="20"/>
              </w:rPr>
              <w:t>Anlage 02/D</w:t>
            </w:r>
          </w:p>
        </w:tc>
      </w:tr>
      <w:tr>
        <w:tc>
          <w:tcPr>
            <w:tcW w:type="dxa" w:w="2268"/>
          </w:tcPr>
          <w:p>
            <w:r>
              <w:rPr>
                <w:rFonts w:ascii="Times New Roman" w:hAnsi="Times New Roman"/>
                <w:sz w:val="20"/>
              </w:rPr>
              <w:t>18.07.2024</w:t>
            </w:r>
          </w:p>
        </w:tc>
        <w:tc>
          <w:tcPr>
            <w:tcW w:type="dxa" w:w="2268"/>
          </w:tcPr>
          <w:p>
            <w:r>
              <w:rPr>
                <w:rFonts w:ascii="Times New Roman" w:hAnsi="Times New Roman"/>
                <w:sz w:val="20"/>
              </w:rPr>
              <w:t>Auftragsbestätigung Werkmann (3 × MFR-3400X, 285.000 EUR)</w:t>
            </w:r>
          </w:p>
        </w:tc>
        <w:tc>
          <w:tcPr>
            <w:tcW w:type="dxa" w:w="2268"/>
          </w:tcPr>
          <w:p>
            <w:r>
              <w:rPr>
                <w:rFonts w:ascii="Times New Roman" w:hAnsi="Times New Roman"/>
                <w:sz w:val="20"/>
              </w:rPr>
              <w:t>Werkmann</w:t>
            </w:r>
          </w:p>
        </w:tc>
        <w:tc>
          <w:tcPr>
            <w:tcW w:type="dxa" w:w="2268"/>
          </w:tcPr>
          <w:p>
            <w:r>
              <w:rPr>
                <w:rFonts w:ascii="Times New Roman" w:hAnsi="Times New Roman"/>
                <w:sz w:val="20"/>
              </w:rPr>
              <w:t>Anlage 02/E</w:t>
            </w:r>
          </w:p>
        </w:tc>
      </w:tr>
      <w:tr>
        <w:tc>
          <w:tcPr>
            <w:tcW w:type="dxa" w:w="2268"/>
          </w:tcPr>
          <w:p>
            <w:r>
              <w:rPr>
                <w:rFonts w:ascii="Times New Roman" w:hAnsi="Times New Roman"/>
                <w:sz w:val="20"/>
              </w:rPr>
              <w:t>05.08.2024</w:t>
            </w:r>
          </w:p>
        </w:tc>
        <w:tc>
          <w:tcPr>
            <w:tcW w:type="dxa" w:w="2268"/>
          </w:tcPr>
          <w:p>
            <w:r>
              <w:rPr>
                <w:rFonts w:ascii="Times New Roman" w:hAnsi="Times New Roman"/>
                <w:sz w:val="20"/>
              </w:rPr>
              <w:t>Ausfuhr (Sendung 1): MFR-3400X-0092, 0093; DAP Bern</w:t>
            </w:r>
          </w:p>
        </w:tc>
        <w:tc>
          <w:tcPr>
            <w:tcW w:type="dxa" w:w="2268"/>
          </w:tcPr>
          <w:p>
            <w:r>
              <w:rPr>
                <w:rFonts w:ascii="Times New Roman" w:hAnsi="Times New Roman"/>
                <w:sz w:val="20"/>
              </w:rPr>
              <w:t>Werkmann / Spedition Kühne&amp;Nagel</w:t>
            </w:r>
          </w:p>
        </w:tc>
        <w:tc>
          <w:tcPr>
            <w:tcW w:type="dxa" w:w="2268"/>
          </w:tcPr>
          <w:p>
            <w:r>
              <w:rPr>
                <w:rFonts w:ascii="Times New Roman" w:hAnsi="Times New Roman"/>
                <w:sz w:val="20"/>
              </w:rPr>
              <w:t>Anlage 02/F</w:t>
            </w:r>
          </w:p>
        </w:tc>
      </w:tr>
      <w:tr>
        <w:tc>
          <w:tcPr>
            <w:tcW w:type="dxa" w:w="2268"/>
          </w:tcPr>
          <w:p>
            <w:r>
              <w:rPr>
                <w:rFonts w:ascii="Times New Roman" w:hAnsi="Times New Roman"/>
                <w:sz w:val="20"/>
              </w:rPr>
              <w:t>23.09.2024</w:t>
            </w:r>
          </w:p>
        </w:tc>
        <w:tc>
          <w:tcPr>
            <w:tcW w:type="dxa" w:w="2268"/>
          </w:tcPr>
          <w:p>
            <w:r>
              <w:rPr>
                <w:rFonts w:ascii="Times New Roman" w:hAnsi="Times New Roman"/>
                <w:sz w:val="20"/>
              </w:rPr>
              <w:t>Ausfuhr (Sendung 2): MFR-3400X-0094; DAP Bern</w:t>
            </w:r>
          </w:p>
        </w:tc>
        <w:tc>
          <w:tcPr>
            <w:tcW w:type="dxa" w:w="2268"/>
          </w:tcPr>
          <w:p>
            <w:r>
              <w:rPr>
                <w:rFonts w:ascii="Times New Roman" w:hAnsi="Times New Roman"/>
                <w:sz w:val="20"/>
              </w:rPr>
              <w:t>Werkmann / Spedition Kühne&amp;Nagel</w:t>
            </w:r>
          </w:p>
        </w:tc>
        <w:tc>
          <w:tcPr>
            <w:tcW w:type="dxa" w:w="2268"/>
          </w:tcPr>
          <w:p>
            <w:r>
              <w:rPr>
                <w:rFonts w:ascii="Times New Roman" w:hAnsi="Times New Roman"/>
                <w:sz w:val="20"/>
              </w:rPr>
              <w:t>Anlage 02/G</w:t>
            </w:r>
          </w:p>
        </w:tc>
      </w:tr>
      <w:tr>
        <w:tc>
          <w:tcPr>
            <w:tcW w:type="dxa" w:w="2268"/>
          </w:tcPr>
          <w:p>
            <w:r>
              <w:rPr>
                <w:rFonts w:ascii="Times New Roman" w:hAnsi="Times New Roman"/>
                <w:sz w:val="20"/>
              </w:rPr>
              <w:t>15.01.2025</w:t>
            </w:r>
          </w:p>
        </w:tc>
        <w:tc>
          <w:tcPr>
            <w:tcW w:type="dxa" w:w="2268"/>
          </w:tcPr>
          <w:p>
            <w:r>
              <w:rPr>
                <w:rFonts w:ascii="Times New Roman" w:hAnsi="Times New Roman"/>
                <w:sz w:val="20"/>
              </w:rPr>
              <w:t>BAFA erhält Hinweis von Liaison-Partner (BND-Kanal, nicht verifiziert)</w:t>
            </w:r>
          </w:p>
        </w:tc>
        <w:tc>
          <w:tcPr>
            <w:tcW w:type="dxa" w:w="2268"/>
          </w:tcPr>
          <w:p>
            <w:r>
              <w:rPr>
                <w:rFonts w:ascii="Times New Roman" w:hAnsi="Times New Roman"/>
                <w:sz w:val="20"/>
              </w:rPr>
              <w:t>BAFA</w:t>
            </w:r>
          </w:p>
        </w:tc>
        <w:tc>
          <w:tcPr>
            <w:tcW w:type="dxa" w:w="2268"/>
          </w:tcPr>
          <w:p>
            <w:r>
              <w:rPr>
                <w:rFonts w:ascii="Times New Roman" w:hAnsi="Times New Roman"/>
                <w:sz w:val="20"/>
              </w:rPr>
              <w:t>—</w:t>
            </w:r>
          </w:p>
        </w:tc>
      </w:tr>
      <w:tr>
        <w:tc>
          <w:tcPr>
            <w:tcW w:type="dxa" w:w="2268"/>
          </w:tcPr>
          <w:p>
            <w:r>
              <w:rPr>
                <w:rFonts w:ascii="Times New Roman" w:hAnsi="Times New Roman"/>
                <w:sz w:val="20"/>
              </w:rPr>
              <w:t>03.03.2026</w:t>
            </w:r>
          </w:p>
        </w:tc>
        <w:tc>
          <w:tcPr>
            <w:tcW w:type="dxa" w:w="2268"/>
          </w:tcPr>
          <w:p>
            <w:r>
              <w:rPr>
                <w:rFonts w:ascii="Times New Roman" w:hAnsi="Times New Roman"/>
                <w:sz w:val="20"/>
              </w:rPr>
              <w:t>BAFA-Anhörungsschreiben an Werkmann</w:t>
            </w:r>
          </w:p>
        </w:tc>
        <w:tc>
          <w:tcPr>
            <w:tcW w:type="dxa" w:w="2268"/>
          </w:tcPr>
          <w:p>
            <w:r>
              <w:rPr>
                <w:rFonts w:ascii="Times New Roman" w:hAnsi="Times New Roman"/>
                <w:sz w:val="20"/>
              </w:rPr>
              <w:t>BAFA → Werkmann</w:t>
            </w:r>
          </w:p>
        </w:tc>
        <w:tc>
          <w:tcPr>
            <w:tcW w:type="dxa" w:w="2268"/>
          </w:tcPr>
          <w:p>
            <w:r>
              <w:rPr>
                <w:rFonts w:ascii="Times New Roman" w:hAnsi="Times New Roman"/>
                <w:sz w:val="20"/>
              </w:rPr>
              <w:t>Anlage 02/H</w:t>
            </w:r>
          </w:p>
        </w:tc>
      </w:tr>
    </w:tbl>
    <w:p/>
    <w:p>
      <w:pPr>
        <w:pStyle w:val="Heading2"/>
      </w:pPr>
      <w:r>
        <w:rPr>
          <w:rFonts w:ascii="Times New Roman" w:hAnsi="Times New Roman"/>
        </w:rPr>
        <w:t>3. Prüfungsmatrix Genehmigungspflicht</w:t>
      </w:r>
    </w:p>
    <w:p>
      <w:pPr>
        <w:pStyle w:val="Heading3"/>
      </w:pPr>
      <w:r>
        <w:rPr>
          <w:rFonts w:ascii="Times New Roman" w:hAnsi="Times New Roman"/>
        </w:rPr>
        <w:t>3.1 Listenprüfung</w:t>
      </w:r>
    </w:p>
    <w:p>
      <w:pPr>
        <w:jc w:val="left"/>
      </w:pPr>
      <w:r>
        <w:t>Die interne Exportkontrollprüfung vom 02.07.2024 (Anlage 02/D) ergab:</w:t>
      </w:r>
    </w:p>
    <w:p>
      <w:pPr>
        <w:pStyle w:val="ListBullet"/>
      </w:pPr>
      <w:r>
        <w:t>CCN (Commerce Classification Number): Keine eindeutige Zuordnung zu Anhang I</w:t>
      </w:r>
    </w:p>
    <w:p>
      <w:pPr>
        <w:pStyle w:val="ListBullet"/>
      </w:pPr>
      <w:r>
        <w:t>Interne Bewertung: „EAR99 equivalent; keine EU-Genehmigungspflicht"</w:t>
      </w:r>
    </w:p>
    <w:p>
      <w:pPr>
        <w:pStyle w:val="ListBullet"/>
      </w:pPr>
      <w:r>
        <w:t>Dual-Use-Checkliste: Ausgefüllt, Ergebnis: Kein Kontrollstatus</w:t>
      </w:r>
    </w:p>
    <w:p>
      <w:pPr>
        <w:pStyle w:val="ListBullet"/>
      </w:pPr>
      <w:r>
        <w:t>Endverbleibsprüfung: EUC von Spengler Engineering AG akzeptiert ohne Rückfrage</w:t>
      </w:r>
    </w:p>
    <w:p>
      <w:pPr>
        <w:jc w:val="left"/>
      </w:pPr>
      <w:r>
        <w:t>Diese Bewertung erscheint rückblickend unzureichend. Die Einbeziehung eines externen Exportkontrollberaters unterblieb; die zuständige CCO Andrea Faske hat nach eigener Auskunft die Anforderungen der Art. 4 Dual-Use-VO im Hinblick auf staatliche iranische Endabnehmer nicht geprüft.</w:t>
      </w:r>
    </w:p>
    <w:p>
      <w:pPr>
        <w:pStyle w:val="Heading3"/>
      </w:pPr>
      <w:r>
        <w:rPr>
          <w:rFonts w:ascii="Times New Roman" w:hAnsi="Times New Roman"/>
        </w:rPr>
        <w:t>3.2 All-Catch-Prüfung nach Art. 4 Dual-Use-VO</w:t>
      </w:r>
    </w:p>
    <w:p>
      <w:pPr>
        <w:jc w:val="left"/>
      </w:pPr>
      <w:r>
        <w:t>Die Prüfung nach Art. 4 Abs. 1 VO (EU) 2021/821 erfordert eine Gesamtbewertung folgender Faktoren:</w:t>
      </w:r>
    </w:p>
    <w:p>
      <w:pPr>
        <w:pStyle w:val="ListBullet"/>
      </w:pPr>
      <w:r>
        <w:t>Endabnehmer: Razi Vaccine Institute, Karaj, Iran — staatliche Einrichtung, im BAFA-Verdachtslisten-System geführt</w:t>
      </w:r>
    </w:p>
    <w:p>
      <w:pPr>
        <w:pStyle w:val="ListBullet"/>
      </w:pPr>
      <w:r>
        <w:t>Verwendungszweck: Bioprozesstechnik, Laborsynthese — potenzielle Dual-Use-Dimension</w:t>
      </w:r>
    </w:p>
    <w:p>
      <w:pPr>
        <w:pStyle w:val="ListBullet"/>
      </w:pPr>
      <w:r>
        <w:t>Weiterleitungsrisiko: Mehrstufige Handelskette über Schweizer Intermediär, ohne Überprüfung der Endverbleibserklärung durch persönlichen Kontakt</w:t>
      </w:r>
    </w:p>
    <w:p>
      <w:pPr>
        <w:pStyle w:val="ListBullet"/>
      </w:pPr>
      <w:r>
        <w:t>Länderbewertung: Iran unterliegt restriktiven Maßnahmen der EU (VO (EU) 2012/35, aktuell konsolidierte Fassung)</w:t>
      </w:r>
    </w:p>
    <w:p>
      <w:pPr>
        <w:jc w:val="left"/>
      </w:pPr>
      <w:r>
        <w:t>Ergebnis der Nachprüfung durch Kanzlei: Zumindest leichtfertiger Verstoß gegen die Prüfungspflicht nach Art. 4 Dual-Use-VO nicht auszuschließen.</w:t>
      </w:r>
    </w:p>
    <w:p/>
    <w:p>
      <w:pPr>
        <w:pStyle w:val="Heading2"/>
      </w:pPr>
      <w:r>
        <w:rPr>
          <w:rFonts w:ascii="Times New Roman" w:hAnsi="Times New Roman"/>
        </w:rPr>
        <w:t>4. Strategische Überlegungen</w:t>
      </w:r>
    </w:p>
    <w:p>
      <w:pPr>
        <w:pStyle w:val="Heading3"/>
      </w:pPr>
      <w:r>
        <w:rPr>
          <w:rFonts w:ascii="Times New Roman" w:hAnsi="Times New Roman"/>
        </w:rPr>
        <w:t>4.1 Selbstanzeige gemäß § 22 OWiG</w:t>
      </w:r>
    </w:p>
    <w:p>
      <w:pPr>
        <w:jc w:val="left"/>
      </w:pPr>
      <w:r>
        <w:t>Eine Selbstanzeige nach § 22 OWiG (im OWi-Verfahren: keine strafbefreiende Selbstanzeige wie § 371 AO, aber Berücksichtigung als Milderungsgrund nach § 17 Abs. 3 OWiG) ist zu erwägen. Vorteile: kooperativer Eindruck bei BAFA, potenziell mildernder Faktor bei Bußgeldbemessung. Risiken: Offenbarung weiterer Sachverhalte, die das BAFA noch nicht kennt; mögliche Anknüpfungspunkte für Strafverdacht (§ 17 AWG).</w:t>
      </w:r>
    </w:p>
    <w:p>
      <w:pPr>
        <w:pStyle w:val="Heading3"/>
      </w:pPr>
      <w:r>
        <w:rPr>
          <w:rFonts w:ascii="Times New Roman" w:hAnsi="Times New Roman"/>
        </w:rPr>
        <w:t>4.2 Stellungnahme zur Anhörung</w:t>
      </w:r>
    </w:p>
    <w:p>
      <w:pPr>
        <w:jc w:val="left"/>
      </w:pPr>
      <w:r>
        <w:t>Die Stellungnahme zur BAFA-Anhörung (Frist: 30.04.2026) muss folgende Punkte abdecken:</w:t>
      </w:r>
    </w:p>
    <w:p>
      <w:pPr>
        <w:pStyle w:val="ListNumber"/>
      </w:pPr>
      <w:r>
        <w:t>Darlegung der Listungsanalyse — MFR-3400X fällt nicht unter Anhang I</w:t>
      </w:r>
    </w:p>
    <w:p>
      <w:pPr>
        <w:pStyle w:val="ListNumber"/>
      </w:pPr>
      <w:r>
        <w:t>Darlegung der internen Prüfungsschritte (Checkliste, EUC-Prüfung)</w:t>
      </w:r>
    </w:p>
    <w:p>
      <w:pPr>
        <w:pStyle w:val="ListNumber"/>
      </w:pPr>
      <w:r>
        <w:t>Bestreiten des Vorsatzes; maximal leichtfertiges Handeln</w:t>
      </w:r>
    </w:p>
    <w:p>
      <w:pPr>
        <w:pStyle w:val="ListNumber"/>
      </w:pPr>
      <w:r>
        <w:t>Berücksichtigung des fehlenden wirtschaftlichen Vorteils jenseits des normalen Kaufpreises</w:t>
      </w:r>
    </w:p>
    <w:p>
      <w:pPr>
        <w:pStyle w:val="ListNumber"/>
      </w:pPr>
      <w:r>
        <w:t>Darlegen der nach Bekanntwerden eingeleiteten Maßnahmen (ICP-Überarbeitung, Neuschulungen)</w:t>
      </w:r>
    </w:p>
    <w:p>
      <w:pPr>
        <w:pStyle w:val="Heading3"/>
      </w:pPr>
      <w:r>
        <w:rPr>
          <w:rFonts w:ascii="Times New Roman" w:hAnsi="Times New Roman"/>
        </w:rPr>
        <w:t>4.3 ICP-Audit</w:t>
      </w:r>
    </w:p>
    <w:p>
      <w:pPr>
        <w:jc w:val="left"/>
      </w:pPr>
      <w:r>
        <w:t>Das BAFA kann gemäß § 23 Abs. 1 AWG Auskunfts- und Duldungspflichten gegenüber Exporteuren durchsetzen. Die Mandantin hat ihr Internes Compliance-Programm (ICP) nach BAFA-Merkblatt (Stand: September 2022) zu überarbeiten und dies im Rahmen der Stellungnahme zu dokumentieren. KPMG Law wurde zur Unterstützung des ICP-Reviews bereits beauftragt.</w:t>
      </w:r>
    </w:p>
    <w:p/>
    <w:p>
      <w:pPr>
        <w:pStyle w:val="Heading2"/>
      </w:pPr>
      <w:r>
        <w:rPr>
          <w:rFonts w:ascii="Times New Roman" w:hAnsi="Times New Roman"/>
        </w:rPr>
        <w:t>5. Anlagen zu diesem Aktenstück</w:t>
      </w:r>
    </w:p>
    <w:p>
      <w:pPr>
        <w:pStyle w:val="ListBullet"/>
      </w:pPr>
      <w:r>
        <w:t>Anlage 02/A: E-Mail-Anfrage Spengler Engineering AG, 12.05.2024</w:t>
      </w:r>
    </w:p>
    <w:p>
      <w:pPr>
        <w:pStyle w:val="ListBullet"/>
      </w:pPr>
      <w:r>
        <w:t>Anlage 02/B: Angebot Werkmann WAT-2024-CH-0081, 28.05.2024</w:t>
      </w:r>
    </w:p>
    <w:p>
      <w:pPr>
        <w:pStyle w:val="ListBullet"/>
      </w:pPr>
      <w:r>
        <w:t>Anlage 02/C: End-User Certificate Spengler Engineering AG, 14.06.2024</w:t>
      </w:r>
    </w:p>
    <w:p>
      <w:pPr>
        <w:pStyle w:val="ListBullet"/>
      </w:pPr>
      <w:r>
        <w:t>Anlage 02/D: Interne Exportkontrollprüfung Werkmann, 02.07.2024 (CCO-Freigabe)</w:t>
      </w:r>
    </w:p>
    <w:p>
      <w:pPr>
        <w:pStyle w:val="ListBullet"/>
      </w:pPr>
      <w:r>
        <w:t>Anlage 02/E: Auftragsbestätigung Werkmann, 18.07.2024</w:t>
      </w:r>
    </w:p>
    <w:p>
      <w:pPr>
        <w:pStyle w:val="ListBullet"/>
      </w:pPr>
      <w:r>
        <w:t>Anlage 02/F: Zollanmeldung Sendung 1, 05.08.2024 (ATLAS-Ausfuhranmeldung)</w:t>
      </w:r>
    </w:p>
    <w:p>
      <w:pPr>
        <w:pStyle w:val="ListBullet"/>
      </w:pPr>
      <w:r>
        <w:t>Anlage 02/G: Zollanmeldung Sendung 2, 23.09.2024 (ATLAS-Ausfuhranmeldung)</w:t>
      </w:r>
    </w:p>
    <w:p>
      <w:pPr>
        <w:pStyle w:val="ListBullet"/>
      </w:pPr>
      <w:r>
        <w:t>Anlage 02/H: BAFA-Anhörungsschreiben BL-22-4188/26, 03.03.2026 (siehe pdfs/bafa_anhoerungsschreiben_redacted.pdf)</w:t>
      </w:r>
    </w:p>
    <w:p/>
    <w:p>
      <w:pPr>
        <w:jc w:val="left"/>
      </w:pPr>
      <w:r>
        <w:rPr>
          <w:i/>
        </w:rPr>
        <w:t>Bearbeitung: RAin Dr. Carola Boekenkamp / Ass. Rüdiger Pfaff — Stand: 20. März 2026</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Behörde: Bundesamt für Wirtschaft und Ausfuhrkontrolle (BAFA)</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Behörde: Bundesamt für Wirtschaft und Ausfuhrkontrolle (BAFA)</w:t>
    </w:r>
  </w:p>
  <w:p>
    <w:pPr>
      <w:jc w:val="left"/>
      <w:pBdr>
        <w:bottom w:val="single" w:sz="6" w:space="2" w:color="3B3F45"/>
      </w:pBdr>
    </w:pPr>
    <w:r>
      <w:rPr>
        <w:rFonts w:ascii="Times New Roman" w:hAnsi="Times New Roman"/>
        <w:color w:val="6B6B66"/>
        <w:sz w:val="16"/>
      </w:rPr>
      <w:t>Frankfurter Str. 29–31, 65760 Eschborn · Aktenzeichen: BAFA OWi BL-22-4188/26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