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04 — Lieferkettenermittlung: Spengler Engineering AG und Transcaucasia Trade GmbH</w:t>
      </w:r>
    </w:p>
    <w:p>
      <w:pPr>
        <w:jc w:val="left"/>
      </w:pPr>
      <w:r>
        <w:rPr>
          <w:b/>
        </w:rPr>
        <w:t>Aktenzeichen:</w:t>
      </w:r>
      <w:r>
        <w:t xml:space="preserve"> BAFA OWi BL-22-4188/26</w:t>
      </w:r>
    </w:p>
    <w:p>
      <w:pPr>
        <w:jc w:val="left"/>
      </w:pPr>
      <w:r>
        <w:rPr>
          <w:b/>
        </w:rPr>
        <w:t>Erstellt:</w:t>
      </w:r>
      <w:r>
        <w:t xml:space="preserve"> 26. März 2026</w:t>
      </w:r>
    </w:p>
    <w:p>
      <w:pPr>
        <w:jc w:val="left"/>
      </w:pPr>
      <w:r>
        <w:rPr>
          <w:b/>
        </w:rPr>
        <w:t>Bearbeitung:</w:t>
      </w:r>
      <w:r>
        <w:t xml:space="preserve"> Ass. Rüdiger Pfaff, Kanzlei Salzgitter, Boekenkamp &amp; Trautmannsdorf</w:t>
      </w:r>
    </w:p>
    <w:p/>
    <w:p>
      <w:pPr>
        <w:pStyle w:val="Heading2"/>
      </w:pPr>
      <w:r>
        <w:rPr>
          <w:rFonts w:ascii="Times New Roman" w:hAnsi="Times New Roman"/>
        </w:rPr>
        <w:t>1. Spengler Engineering AG — Profil und Rolle</w:t>
      </w:r>
    </w:p>
    <w:p>
      <w:pPr>
        <w:jc w:val="left"/>
      </w:pPr>
      <w:r>
        <w:t>Die Spengler Engineering AG ist eine in der Schweiz ansässige Handelsgesellschaft (Handelsregistereintrag Kanton Bern, CH-033.3.200.418-1), gegründet im Jahr 2011. Sitz: Schwarztorstraße 48, 3007 Bern. Alleiniger Verwaltungsratspräsident und CEO: Felix Spengler-Roth (Schweizer Staatsbürger, geb. 1971). Das Unternehmen bezeichnet sich selbst als Spezialhändler für Labor- und Prozessausrüstung in Zentral- und Osteuropa sowie dem Nahen Osten.</w:t>
      </w:r>
    </w:p>
    <w:p>
      <w:pPr>
        <w:jc w:val="left"/>
      </w:pPr>
      <w:r>
        <w:t>Die Spengler Engineering AG hatte seit 2019 eine Geschäftsbeziehung zu Werkmann Anlagentechnik AG aufgebaut und in den Vorjahren mehrere kleinere Laborgeräte (PMA-500, MFR-1200) bezogen. Auffällig ist, dass die Endabnehmer in früheren Transaktionen stets europäische Pharmaunternehmen oder Universitäten waren.</w:t>
      </w:r>
    </w:p>
    <w:p>
      <w:pPr>
        <w:jc w:val="left"/>
      </w:pPr>
      <w:r>
        <w:t>Im vorliegenden Komplex trat Spengler als formaler Käufer auf (Vertragspartner, Rechnungsempfänger, EUC-Aussteller), ohne jedoch — wie sich im Nachhinein ergibt — wirtschaftlicher Endabnehmer zu sein. Das BAFA-Ermittlungsschreiben vom 03.03.2026 enthält den Hinweis, dass die Schweizer Strafverfolgungsbehörden (Bundesanwaltschaft Bern) im Rahmen der Rechtshilfe (Staatsvertrag CH-DE Rechtshilfe in Strafsachen, SR 0.351.913.61) Informationen zu Spengler übermittelt haben.</w:t>
      </w:r>
    </w:p>
    <w:p/>
    <w:p>
      <w:pPr>
        <w:pStyle w:val="Heading2"/>
      </w:pPr>
      <w:r>
        <w:rPr>
          <w:rFonts w:ascii="Times New Roman" w:hAnsi="Times New Roman"/>
        </w:rPr>
        <w:t>2. Transcaucasia Trade GmbH — Ermittlungsergebnisse</w:t>
      </w:r>
    </w:p>
    <w:p>
      <w:pPr>
        <w:jc w:val="left"/>
      </w:pPr>
      <w:r>
        <w:t>Die Transcaucasia Trade GmbH (CHE-447.628.590, Zürich) erscheint als zweite Handelsebene in der Lieferkette. Sie ist eingetragen im Handelsregister des Kantons Zürich; Sitz: Bahnhofstraße 88 (C/o Treuhand Löwenstein AG), 8001 Zürich. Gesellschafter: nach Auskunft der Kanzlei und nach öffentlichen Registerdaten nicht eindeutig identifizierbar (Nominee-Struktur). Zweck laut Handelsregistereintrag: „Import und Export von Industriegütern, Beratung".</w:t>
      </w:r>
    </w:p>
    <w:p>
      <w:pPr>
        <w:jc w:val="left"/>
      </w:pPr>
      <w:r>
        <w:t>Erkenntnisse aus der internen Dokumentensichtung:</w:t>
      </w:r>
    </w:p>
    <w:p>
      <w:pPr>
        <w:pStyle w:val="ListBullet"/>
      </w:pPr>
      <w:r>
        <w:t>In einer WhatsApp-Nachricht (Sicherungskopie auf dem Dienst-iPhone des Vertriebs-Mitarbeiters Karl-Heinz Meusel, sichergestellt am 20.03.2026) findet sich ein Hinweis von Spengler, dass die Geräte „über unsere Partnerstruktur in Zürich nach Teheran" weitergeleitet werden.</w:t>
      </w:r>
    </w:p>
    <w:p>
      <w:pPr>
        <w:pStyle w:val="ListBullet"/>
      </w:pPr>
      <w:r>
        <w:t>Eine interne E-Mail von Felix Spengler-Roth an die Transcaucasia Trade GmbH vom 03.09.2024 (Betreff: „Delivery confirmation RVI") wurde bei der internen Sichtung von Werkmanns Server-Backup nicht gefunden, erscheint aber im BAFA-Schreiben als bekannte Information.</w:t>
      </w:r>
    </w:p>
    <w:p/>
    <w:p>
      <w:pPr>
        <w:pStyle w:val="Heading2"/>
      </w:pPr>
      <w:r>
        <w:rPr>
          <w:rFonts w:ascii="Times New Roman" w:hAnsi="Times New Roman"/>
        </w:rPr>
        <w:t>3. Razi Vaccine Institute — Endabnehmer</w:t>
      </w:r>
    </w:p>
    <w:p>
      <w:pPr>
        <w:jc w:val="left"/>
      </w:pPr>
      <w:r>
        <w:t>Das Razi Vaccine and Serum Research Institute (persische Transkription: Moassese-ye Tahghighat-e Vaksan va Serum-Sazi-ye Razi) ist eine staatliche Einrichtung Irans unter Aufsicht des Ministeriums für Dschihad-Landwirtschaft (Jihad-e Agriculture). Sitz: Karaj (30 km westlich Teheran). Das Institut ist auf die Entwicklung und Produktion von Tier- und Humanimpfstoffen spezialisiert und verfügt laut Veröffentlichungen der WHO über GMP-Produktionsanlagen.</w:t>
      </w:r>
    </w:p>
    <w:p>
      <w:pPr>
        <w:jc w:val="left"/>
      </w:pPr>
      <w:r>
        <w:t>Für exportkontrollrechtliche Zwecke ist das Razi Vaccine Institute wie folgt einzuordnen:</w:t>
      </w:r>
    </w:p>
    <w:p>
      <w:pPr>
        <w:pStyle w:val="ListBullet"/>
      </w:pPr>
      <w:r>
        <w:rPr>
          <w:b/>
        </w:rPr>
        <w:t>EU-Sanktionen gegen Iran:</w:t>
      </w:r>
      <w:r>
        <w:t xml:space="preserve"> Die VO (EU) 267/2012 (konsolidierte Fassung 2024) enthält das Institut nicht namentlich auf der SDN-Equivalent-Liste; allerdings unterliegen Dual-Use-Ausfuhren nach Iran grundsätzlich restriktiven Maßnahmen (Art. 2 VO (EU) 267/2012 i.d.F. VO (EU) 2012/282).</w:t>
      </w:r>
    </w:p>
    <w:p>
      <w:pPr>
        <w:pStyle w:val="ListBullet"/>
      </w:pPr>
      <w:r>
        <w:rPr>
          <w:b/>
        </w:rPr>
        <w:t>US-Sanktionen:</w:t>
      </w:r>
      <w:r>
        <w:t xml:space="preserve"> Das Razi Vaccine Institute ist nicht direkt auf der OFAC SDN-Liste eingetragen, jedoch unterliegt jede US-Person (oder Unternehmen mit US-Bezügen wie Werkmann Pharma Inc.) Transaktionsbeschränkungen im Rahmen des Iran Comprehensive Divestment Act und der ITSR (Iran Transactions and Sanctions Regulations, 31 C.F.R. Part 560).</w:t>
      </w:r>
    </w:p>
    <w:p>
      <w:pPr>
        <w:pStyle w:val="ListBullet"/>
      </w:pPr>
      <w:r>
        <w:rPr>
          <w:b/>
        </w:rPr>
        <w:t>BND-Einschätzung:</w:t>
      </w:r>
      <w:r>
        <w:t xml:space="preserve"> Dem BAFA-Ermittlungsschreiben zufolge liegen Hinweise vor, dass das Razi-Institut potenzielle Verbindungen zu Organisationseinheiten des IRGC (Islamische Revolutionsgarde) unterhält. Diese Einschätzung ist nicht öffentlich verifizierbar; sie erhöht jedoch das strafrechtliche Risiko im Sinne eines Vorsatznachweises erheblich.</w:t>
      </w:r>
    </w:p>
    <w:p/>
    <w:p>
      <w:pPr>
        <w:pStyle w:val="Heading2"/>
      </w:pPr>
      <w:r>
        <w:rPr>
          <w:rFonts w:ascii="Times New Roman" w:hAnsi="Times New Roman"/>
        </w:rPr>
        <w:t>4. Kettenstruktur und rechtliche Bewertung</w:t>
      </w:r>
    </w:p>
    <w:p>
      <w:pPr>
        <w:jc w:val="left"/>
      </w:pPr>
      <w:r>
        <w:t>Die festgestellte Lieferkette lautet: Werkmann Anlagentechnik AG (Mannheim) → Spengler Engineering AG (Bern) → Transcaucasia Trade GmbH (Zürich) → Razi Vaccine Institute (Karaj, Iran).</w:t>
      </w:r>
    </w:p>
    <w:p>
      <w:pPr>
        <w:pStyle w:val="Heading3"/>
      </w:pPr>
      <w:r>
        <w:rPr>
          <w:rFonts w:ascii="Times New Roman" w:hAnsi="Times New Roman"/>
        </w:rPr>
        <w:t>4.1 Wissenszurechnung</w:t>
      </w:r>
    </w:p>
    <w:p>
      <w:pPr>
        <w:jc w:val="left"/>
      </w:pPr>
      <w:r>
        <w:t>Die zentrale Frage ist, ob Werkmann Anlagentechnik AG von der Weiterleitung nach Iran wusste oder hätte wissen müssen:</w:t>
      </w:r>
    </w:p>
    <w:p>
      <w:pPr>
        <w:pStyle w:val="ListBullet"/>
      </w:pPr>
      <w:r>
        <w:rPr>
          <w:b/>
        </w:rPr>
        <w:t>Kein positives Wissen:</w:t>
      </w:r>
      <w:r>
        <w:t xml:space="preserve"> Nach aktuellem Erkenntnisstand bestand kein direktes Wissen von GF oder CCO über die Iran-Bestimmung zum Zeitpunkt der Lieferung.</w:t>
      </w:r>
    </w:p>
    <w:p>
      <w:pPr>
        <w:pStyle w:val="ListBullet"/>
      </w:pPr>
      <w:r>
        <w:rPr>
          <w:b/>
        </w:rPr>
        <w:t>Fahrlässigkeitsvorwurf:</w:t>
      </w:r>
      <w:r>
        <w:t xml:space="preserve"> Allerdings weist die mehrstufige Handelskette über zwei Schweizer Zwischenhändler mit kaum identifizierbaren wirtschaftlichen Eigentümern deutliche Red Flags auf. Nach dem BAFA-Merkblatt zu Red Flags (Stand: August 2022, Abschnitt 4.3) hätten insbesondere folgende Umstände eine vertiefte Prüfung erfordert: ungewöhnliche Zahlungsrouten, fehlende Möglichkeit zur Endverbleibsverifizierung, fehlende Unternehmenswebsite von Transcaucasia Trade, kurzfristige Bestellung ohne technischen Beratungsbedarf.</w:t>
      </w:r>
    </w:p>
    <w:p>
      <w:pPr>
        <w:pStyle w:val="Heading3"/>
      </w:pPr>
      <w:r>
        <w:rPr>
          <w:rFonts w:ascii="Times New Roman" w:hAnsi="Times New Roman"/>
        </w:rPr>
        <w:t>4.2 Strafbarkeit des Vermittlers</w:t>
      </w:r>
    </w:p>
    <w:p>
      <w:pPr>
        <w:jc w:val="left"/>
      </w:pPr>
      <w:r>
        <w:t>Die Strafbarkeit von Felix Spengler-Roth (Schweizer Staatsangehöriger) nach § 18 AWG bzw. den entsprechenden schweizerischen Exportkontrollvorschriften (KMG, SR 514.51; GKV, SR 946.202) ist nicht Gegenstand dieses Mandats, wird aber im Hinblick auf mögliche Rechtshilfeersuchen beobachtet.</w:t>
      </w:r>
    </w:p>
    <w:p/>
    <w:p>
      <w:pPr>
        <w:pStyle w:val="Heading2"/>
      </w:pPr>
      <w:r>
        <w:rPr>
          <w:rFonts w:ascii="Times New Roman" w:hAnsi="Times New Roman"/>
        </w:rPr>
        <w:t>5. Anlagen</w:t>
      </w:r>
    </w:p>
    <w:p>
      <w:pPr>
        <w:pStyle w:val="ListBullet"/>
      </w:pPr>
      <w:r>
        <w:t>Anlage 04/A: Auszug Handelsregister Spengler Engineering AG, Kanton Bern (Stand: März 2026)</w:t>
      </w:r>
    </w:p>
    <w:p>
      <w:pPr>
        <w:pStyle w:val="ListBullet"/>
      </w:pPr>
      <w:r>
        <w:t>Anlage 04/B: Auszug Handelsregister Transcaucasia Trade GmbH, Kanton Zürich</w:t>
      </w:r>
    </w:p>
    <w:p>
      <w:pPr>
        <w:pStyle w:val="ListBullet"/>
      </w:pPr>
      <w:r>
        <w:t>Anlage 04/C: WhatsApp-Auszug (geschwärzt, relevante Passage)</w:t>
      </w:r>
    </w:p>
    <w:p>
      <w:pPr>
        <w:pStyle w:val="ListBullet"/>
      </w:pPr>
      <w:r>
        <w:t>Anlage 04/D: BAFA-Ermittlungshinweis zu Razi Vaccine Institute</w:t>
      </w:r>
    </w:p>
    <w:p/>
    <w:p>
      <w:pPr>
        <w:jc w:val="left"/>
      </w:pPr>
      <w:r>
        <w:rPr>
          <w:i/>
        </w:rPr>
        <w:t>Bearbeitung: Ass. Rüdiger Pfaff — Stand: 28. März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Spengler Engineering AG und Transcaucasia Trade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Spengler Engineering AG und Transcaucasia Trade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Aktenzeichen: BAFA OWi BL-22-4188/26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