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06 — US-Sekundärsanktionen: OFAC, EAR, ITAR und Werkmann Pharma Inc.</w:t>
      </w:r>
    </w:p>
    <w:p>
      <w:pPr>
        <w:jc w:val="left"/>
      </w:pPr>
      <w:r>
        <w:rPr>
          <w:b/>
        </w:rPr>
        <w:t>Aktenzeichen:</w:t>
      </w:r>
      <w:r>
        <w:t xml:space="preserve"> (intern) WPh-USA-2026/03; Referenz OFAC/SDN/IRN-2026-00448</w:t>
      </w:r>
    </w:p>
    <w:p>
      <w:pPr>
        <w:jc w:val="left"/>
      </w:pPr>
      <w:r>
        <w:rPr>
          <w:b/>
        </w:rPr>
        <w:t>Erstellt:</w:t>
      </w:r>
      <w:r>
        <w:t xml:space="preserve"> 02. April 2026</w:t>
      </w:r>
    </w:p>
    <w:p>
      <w:pPr>
        <w:jc w:val="left"/>
      </w:pPr>
      <w:r>
        <w:rPr>
          <w:b/>
        </w:rPr>
        <w:t>Bearbeitung:</w:t>
      </w:r>
      <w:r>
        <w:t xml:space="preserve"> RAin Dr. Carola Boekenkamp; Koordination: Brösel Holzapfel &amp; Partner LLP, Washington D.C. (Ansprechpartner: Partner J. Trevor Blackwood, Esq.)</w:t>
      </w:r>
    </w:p>
    <w:p>
      <w:pPr>
        <w:jc w:val="left"/>
      </w:pPr>
      <w:r>
        <w:rPr>
          <w:b/>
        </w:rPr>
        <w:t>Mandantin:</w:t>
      </w:r>
      <w:r>
        <w:t xml:space="preserve"> Werkmann Anlagentechnik AG (Muttergesellschaft) / Werkmann Pharma Inc. (Boston, MA — unmittelbar betroffene US-Einheit)</w:t>
      </w:r>
    </w:p>
    <w:p/>
    <w:p>
      <w:pPr>
        <w:pStyle w:val="Heading2"/>
      </w:pPr>
      <w:r>
        <w:rPr>
          <w:rFonts w:ascii="Times New Roman" w:hAnsi="Times New Roman"/>
        </w:rPr>
        <w:t>1. Sachverhaltsgrundlage</w:t>
      </w:r>
    </w:p>
    <w:p>
      <w:pPr>
        <w:jc w:val="left"/>
      </w:pPr>
      <w:r>
        <w:t>Die Werkmann Pharma Inc. (nachfolgend: WPh) ist eine 100%ige Tochtergesellschaft der Werkmann Anlagentechnik AG, gegründet 2009 in Delaware, operativer Sitz: 150 Milk Street, Suite 820, Boston, MA 02109. WPh vertreibt in den USA und Kanada Laborgeräte der Werkmann-Produktlinie, insbesondere den MFR-3400X und verwandte Systeme.</w:t>
      </w:r>
    </w:p>
    <w:p>
      <w:pPr>
        <w:jc w:val="left"/>
      </w:pPr>
      <w:r>
        <w:t>WPh bezieht von US-amerikanischen Zulieferern folgende Komponenten, die für den Export und Re-Export relevant sind:</w:t>
      </w:r>
    </w:p>
    <w:p>
      <w:pPr>
        <w:pStyle w:val="ListNumber"/>
      </w:pPr>
      <w:r>
        <w:t>Siemens Schweiz AG liefert die S7-1500 PLC — diese enthält US-amerikanische Halbleiter (Texas Instruments, ECCN 3A001), was den EAR-Tatbestand für Re-Exporte begründen kann.</w:t>
      </w:r>
    </w:p>
    <w:p>
      <w:pPr>
        <w:pStyle w:val="ListNumber"/>
      </w:pPr>
      <w:r>
        <w:t>National Instruments (NI) USA liefert LabVIEW-Steuerungssoftware (ECCN 5D002) — US-Origin-Software, die für Re-Exporte nach Iran per se OFAC-/EAR-Genehmigungspflichtig ist.</w:t>
      </w:r>
    </w:p>
    <w:p>
      <w:pPr>
        <w:pStyle w:val="ListNumber"/>
      </w:pPr>
      <w:r>
        <w:t>Parker Hannifin Corporation (Mayfield Heights, OH) liefert Hochdruckventile (ECCN EAR99).</w:t>
      </w:r>
    </w:p>
    <w:p/>
    <w:p>
      <w:pPr>
        <w:pStyle w:val="Heading2"/>
      </w:pPr>
      <w:r>
        <w:rPr>
          <w:rFonts w:ascii="Times New Roman" w:hAnsi="Times New Roman"/>
        </w:rPr>
        <w:t>2. OFAC — Sanctions Compliance</w:t>
      </w:r>
    </w:p>
    <w:p>
      <w:pPr>
        <w:pStyle w:val="Heading3"/>
      </w:pPr>
      <w:r>
        <w:rPr>
          <w:rFonts w:ascii="Times New Roman" w:hAnsi="Times New Roman"/>
        </w:rPr>
        <w:t>2.1 Iran Sanctions Regime</w:t>
      </w:r>
    </w:p>
    <w:p>
      <w:pPr>
        <w:jc w:val="left"/>
      </w:pPr>
      <w:r>
        <w:t>OFAC verwaltet das Iran Sanctions Regime auf Basis von:</w:t>
      </w:r>
    </w:p>
    <w:p>
      <w:pPr>
        <w:pStyle w:val="ListBullet"/>
      </w:pPr>
      <w:r>
        <w:t>International Emergency Economic Powers Act (IEEPA), 50 U.S.C. §§ 1701 et seq.</w:t>
      </w:r>
    </w:p>
    <w:p>
      <w:pPr>
        <w:pStyle w:val="ListBullet"/>
      </w:pPr>
      <w:r>
        <w:t>Iran Threat Reduction and Syria Human Rights Act of 2012 (TRA), Pub. L. 112-158</w:t>
      </w:r>
    </w:p>
    <w:p>
      <w:pPr>
        <w:pStyle w:val="ListBullet"/>
      </w:pPr>
      <w:r>
        <w:t>Executive Orders 13599, 13846, 13871 und weitere</w:t>
      </w:r>
    </w:p>
    <w:p>
      <w:pPr>
        <w:jc w:val="left"/>
      </w:pPr>
      <w:r>
        <w:t>Die Iran Transactions and Sanctions Regulations (ITSR), 31 C.F.R. Part 560, verbieten U.S. Persons und — im Rahmen der Sekundärsanktionen — auch Nicht-US-Personen bestimmte Transaktionen mit Iran. Sekundärsanktionen nach § 5 ITREEA (Iran Threat Reduction and Export Administration Act, 22 U.S.C. § 8513a) können auch gegenüber Nicht-US-Unternehmen zur Anwendung kommen, wenn diese Transaktionen mit dem Iran durchführen, die — bei Beteiligung einer US-Person — verboten wären.</w:t>
      </w:r>
    </w:p>
    <w:p>
      <w:pPr>
        <w:pStyle w:val="Heading3"/>
      </w:pPr>
      <w:r>
        <w:rPr>
          <w:rFonts w:ascii="Times New Roman" w:hAnsi="Times New Roman"/>
        </w:rPr>
        <w:t>2.2 OFAC-Anfrage und SDN-Listungsrisiko</w:t>
      </w:r>
    </w:p>
    <w:p>
      <w:pPr>
        <w:jc w:val="left"/>
      </w:pPr>
      <w:r>
        <w:t>OFAC hat mit Schreiben vom 15. März 2026 (OFAC Reference No. OFAC/SDN/IRN-2026-00448) bei Werkmann Pharma Inc. eine Auskunft über Transaktionen mit „entities potentially affiliated with the Iranian government or Iranian-controlled entities" angefragt. Die Frist zur Beantwortung beträgt 30 Tage ab Zustellung (Zustellung: 18. März 2026; Frist: 17. April 2026).</w:t>
      </w:r>
    </w:p>
    <w:p>
      <w:pPr>
        <w:jc w:val="left"/>
      </w:pPr>
      <w:r>
        <w:t>Eine SDN-Listung (Specially Designated Nationals and Blocked Persons List) der Werkmann Anlagentechnik AG oder Werkmann Pharma Inc. hätte folgende Konsequenzen:</w:t>
      </w:r>
    </w:p>
    <w:p>
      <w:pPr>
        <w:pStyle w:val="ListBullet"/>
      </w:pPr>
      <w:r>
        <w:t>Sämtliche Vermögenswerte im Zuständigkeitsbereich der USA werden eingefroren (§ 560.202 ITSR).</w:t>
      </w:r>
    </w:p>
    <w:p>
      <w:pPr>
        <w:pStyle w:val="ListBullet"/>
      </w:pPr>
      <w:r>
        <w:t>US-Personen dürfen keine Transaktionen mit der gelisteten Einheit durchführen.</w:t>
      </w:r>
    </w:p>
    <w:p>
      <w:pPr>
        <w:pStyle w:val="ListBullet"/>
      </w:pPr>
      <w:r>
        <w:t>Drittstaaten-Unternehmen mit US-Dollargeschäften sind faktisch gezwungen, die Geschäftsbeziehung zu beenden (Correspondent-Banking-Risiko).</w:t>
      </w:r>
    </w:p>
    <w:p>
      <w:pPr>
        <w:pStyle w:val="ListBullet"/>
      </w:pPr>
      <w:r>
        <w:t>Kreditlinien bei US-affiliierten Banken (z.B. Deutsche Bank AG mit US-Niederlassung) wären unmittelbar gefährdet.</w:t>
      </w:r>
    </w:p>
    <w:p>
      <w:pPr>
        <w:jc w:val="left"/>
      </w:pPr>
      <w:r>
        <w:t>Die Likelihood einer formellen SDN-Listung wird von Brösel Holzapfel &amp; Partner derzeit als „low to moderate" eingestuft, sofern WPh kooperativ und vollständig antwortet und keine weiteren Iran-bezogenen Transaktionen ans Licht kommen.</w:t>
      </w:r>
    </w:p>
    <w:p/>
    <w:p>
      <w:pPr>
        <w:pStyle w:val="Heading2"/>
      </w:pPr>
      <w:r>
        <w:rPr>
          <w:rFonts w:ascii="Times New Roman" w:hAnsi="Times New Roman"/>
        </w:rPr>
        <w:t>3. EAR — Export Administration Regulations</w:t>
      </w:r>
    </w:p>
    <w:p>
      <w:pPr>
        <w:pStyle w:val="Heading3"/>
      </w:pPr>
      <w:r>
        <w:rPr>
          <w:rFonts w:ascii="Times New Roman" w:hAnsi="Times New Roman"/>
        </w:rPr>
        <w:t>3.1 Anwendungsbereich</w:t>
      </w:r>
    </w:p>
    <w:p>
      <w:pPr>
        <w:jc w:val="left"/>
      </w:pPr>
      <w:r>
        <w:t>Die EAR (15 C.F.R. Parts 730–774, verwaltet vom Bureau of Industry and Security, BIS, U.S. Department of Commerce) gelten für:</w:t>
      </w:r>
    </w:p>
    <w:p>
      <w:pPr>
        <w:pStyle w:val="ListBullet"/>
      </w:pPr>
      <w:r>
        <w:t>Im US-Inland hergestellte Güter (US-origin items)</w:t>
      </w:r>
    </w:p>
    <w:p>
      <w:pPr>
        <w:pStyle w:val="ListBullet"/>
      </w:pPr>
      <w:r>
        <w:t>Güter mit US-Anteilen von mehr als de minimis (10 % für Iran, Kuba, Nordkorea, Syrien nach § 734.4 EAR)</w:t>
      </w:r>
    </w:p>
    <w:p>
      <w:pPr>
        <w:pStyle w:val="ListBullet"/>
      </w:pPr>
      <w:r>
        <w:t>US-Software und -Technologie, unabhängig vom Herstellungsort</w:t>
      </w:r>
    </w:p>
    <w:p>
      <w:pPr>
        <w:jc w:val="left"/>
      </w:pPr>
      <w:r>
        <w:t>Relevante Lieferungen von WPh an die Muttergesellschaft (für den Einbau in den MFR-3400X, der dann nach Iran geliefert wurde) unterliegen dem EAR-Re-Export-Verbot. BIS Country Group D:5 (Iran) erfordert für praktisch alle kontrollierten ECCN-Positionen eine Einzelgenehmigung.</w:t>
      </w:r>
    </w:p>
    <w:p>
      <w:pPr>
        <w:pStyle w:val="Heading3"/>
      </w:pPr>
      <w:r>
        <w:rPr>
          <w:rFonts w:ascii="Times New Roman" w:hAnsi="Times New Roman"/>
        </w:rPr>
        <w:t>3.2 Risikobewertung</w:t>
      </w:r>
    </w:p>
    <w:p>
      <w:pPr>
        <w:jc w:val="left"/>
      </w:pPr>
      <w:r>
        <w:t>Der LabVIEW-Software-Anteil (ECCN 5D002) und die Texas-Instruments-Halbleiter (ECCN 3A001) in den nach Iran weitergereichten MFR-3400X-Einheiten begründen einen potenziellen EAR-Verstoß durch WPh, da eine Re-Export-Genehmigung nicht beantragt wurde. BIS kann in solchen Fällen zivile Strafen bis zu 307.922 USD pro Verstoß (Stand 2026, jährlich an CPI angepasst) oder das Doppelte des Transaktionswerts verhängen, sowie im strafrechtlichen Bereich Freiheitsstrafen nach 50 U.S.C. § 4819.</w:t>
      </w:r>
    </w:p>
    <w:p/>
    <w:p>
      <w:pPr>
        <w:pStyle w:val="Heading2"/>
      </w:pPr>
      <w:r>
        <w:rPr>
          <w:rFonts w:ascii="Times New Roman" w:hAnsi="Times New Roman"/>
        </w:rPr>
        <w:t>4. ITAR — Risikobewertung</w:t>
      </w:r>
    </w:p>
    <w:p>
      <w:pPr>
        <w:jc w:val="left"/>
      </w:pPr>
      <w:r>
        <w:t>Die International Traffic in Arms Regulations (ITAR, 22 C.F.R. Parts 120–130) regeln die Ausfuhr und den Transfer von Verteidigungsgütern und -dienstleistungen der United States Munitions List (USML). Die WPh-Produkte sind grundsätzlich nicht USML-gelistet; eine Berührung ergibt sich allerdings aus dem Bereich der „defense articles" nur dann, wenn Komponenten des MFR-3400X unter USML Category XIV (Toxicological Agents, Biological Agents) fallen könnten — dies ist bei dem vorliegenden Gerät ohne militärische Spezifikation zu verneinen. ITAR-Risiko wird von Brösel Holzapfel &amp; Partner als gering eingestuft.</w:t>
      </w:r>
    </w:p>
    <w:p/>
    <w:p>
      <w:pPr>
        <w:pStyle w:val="Heading2"/>
      </w:pPr>
      <w:r>
        <w:rPr>
          <w:rFonts w:ascii="Times New Roman" w:hAnsi="Times New Roman"/>
        </w:rPr>
        <w:t>5. Ex-Mitarbeiter Nasseri — Reverse Engineering Risiko</w:t>
      </w:r>
    </w:p>
    <w:p>
      <w:pPr>
        <w:jc w:val="left"/>
      </w:pPr>
      <w:r>
        <w:t>Zubair Nasseri (geb. 1989, zuletzt Mannheim-Käfertal), ehemaliger Mitarbeiter der IT-Abteilung der Werkmann Anlagentechnik AG, hat das Unternehmen zum 31. Januar 2025 verlassen. Nach Erkenntnissen von Werkmanns HR-Abteilung ist er nach Teheran ausgewandert. Nasseri hatte Zugang zu:</w:t>
      </w:r>
    </w:p>
    <w:p>
      <w:pPr>
        <w:pStyle w:val="ListBullet"/>
      </w:pPr>
      <w:r>
        <w:t>Quellcode der MFR-Steuerungssoftware (intern: SmartFlow v3.7)</w:t>
      </w:r>
    </w:p>
    <w:p>
      <w:pPr>
        <w:pStyle w:val="ListBullet"/>
      </w:pPr>
      <w:r>
        <w:t>CAD-Plänen der MFR-3400X-Konstruktion</w:t>
      </w:r>
    </w:p>
    <w:p>
      <w:pPr>
        <w:pStyle w:val="ListBullet"/>
      </w:pPr>
      <w:r>
        <w:t>IT-Zugangsdaten (nach Ausscheiden technisch gesperrt, jedoch nicht sofort; Sperrung erfolgte nach internem Bericht erst drei Wochen nach Vertragsende)</w:t>
      </w:r>
    </w:p>
    <w:p>
      <w:pPr>
        <w:jc w:val="left"/>
      </w:pPr>
      <w:r>
        <w:t>Handlungsempfehlungen:</w:t>
      </w:r>
    </w:p>
    <w:p>
      <w:pPr>
        <w:pStyle w:val="ListNumber"/>
      </w:pPr>
      <w:r>
        <w:t>Beauftragung einer Datenschutz-Forensikuntersuchung (log-basiert): Hat Nasseri vor dem Ausscheiden Daten kopiert?</w:t>
      </w:r>
    </w:p>
    <w:p>
      <w:pPr>
        <w:pStyle w:val="ListNumber"/>
      </w:pPr>
      <w:r>
        <w:t>Prüfung eines Unterlassungsanspruchs nach dem Gesetz zum Schutz von Geschäftsgeheimnissen (GeschGehG, BGBl. I 2019, S. 466) — § 6 GeschGehG (Schadensersatzanspruch bei unbefugter Nutzung).</w:t>
      </w:r>
    </w:p>
    <w:p>
      <w:pPr>
        <w:pStyle w:val="ListNumber"/>
      </w:pPr>
      <w:r>
        <w:t>Information an OFAC im Rahmen der OFAC-Response: Möglicher Wissenstransfer durch Nasseri ist relevanter Hintergrundfaktor.</w:t>
      </w:r>
    </w:p>
    <w:p>
      <w:pPr>
        <w:pStyle w:val="ListNumber"/>
      </w:pPr>
      <w:r>
        <w:t>Koordination mit BfV (Bundesamt für Verfassungsschutz) über die Mandantin: Wirtschaftsspionagerisiko prüfen.</w:t>
      </w:r>
    </w:p>
    <w:p/>
    <w:p>
      <w:pPr>
        <w:pStyle w:val="Heading2"/>
      </w:pPr>
      <w:r>
        <w:rPr>
          <w:rFonts w:ascii="Times New Roman" w:hAnsi="Times New Roman"/>
        </w:rPr>
        <w:t>6. Koordination mit Brösel Holzapfel &amp; Partner</w:t>
      </w:r>
    </w:p>
    <w:p>
      <w:pPr>
        <w:jc w:val="left"/>
      </w:pPr>
      <w:r>
        <w:t>Erste Telefonkonferenz: 20. März 2026, 15:00 Uhr MEZ / 9:00 Uhr EST. Teilnehmer: Dr. Boekenkamp, Ass. Pfaff, J. Trevor Blackwood Esq. (Brösel Holzapfel &amp; Partner), Bartholomäus Dingelstedt Esq. (Brösel Holzapfel &amp; Partner, OFAC Compliance). Ergebnis:</w:t>
      </w:r>
    </w:p>
    <w:p>
      <w:pPr>
        <w:pStyle w:val="ListBullet"/>
      </w:pPr>
      <w:r>
        <w:t>Brösel Holzapfel &amp; Partner übernimmt federführend die Beantwortung der OFAC-Anfrage.</w:t>
      </w:r>
    </w:p>
    <w:p>
      <w:pPr>
        <w:pStyle w:val="ListBullet"/>
      </w:pPr>
      <w:r>
        <w:t>Kanzlei Frankfurt übersendet Sachverhaltsdarstellung und relevante Unterlagen bis 08. April 2026.</w:t>
      </w:r>
    </w:p>
    <w:p>
      <w:pPr>
        <w:pStyle w:val="ListBullet"/>
      </w:pPr>
      <w:r>
        <w:t>Voluntarily self-disclosure (VSD) beim BIS wird für den EAR-Komplex geprüft — Brösel Holzapfel &amp; Partner empfiehlt VSD als bußgeldmindernden Faktor.</w:t>
      </w:r>
    </w:p>
    <w:p/>
    <w:p>
      <w:pPr>
        <w:jc w:val="left"/>
      </w:pPr>
      <w:r>
        <w:rPr>
          <w:i/>
        </w:rPr>
        <w:t>Bearbeitung: Dr. Boekenkamp / Brösel Holzapfel &amp; Partner — Stand: 05. April 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Werkmann Anlagentechnik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Werkmann Anlagentechnik AG</w:t>
    </w:r>
  </w:p>
  <w:p>
    <w:pPr>
      <w:jc w:val="left"/>
      <w:pBdr>
        <w:bottom w:val="single" w:sz="6" w:space="2" w:color="3B3F45"/>
      </w:pBdr>
    </w:pPr>
    <w:r>
      <w:rPr>
        <w:rFonts w:ascii="Times New Roman" w:hAnsi="Times New Roman"/>
        <w:color w:val="6B6B66"/>
        <w:sz w:val="16"/>
      </w:rPr>
      <w:t>MA — unmittelbar betroffene US-Einheit)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