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11 — Internes Compliance-Programm (ICP): Audit-Bericht und Überarbeitung</w:t>
      </w:r>
    </w:p>
    <w:p>
      <w:pPr>
        <w:jc w:val="left"/>
      </w:pPr>
      <w:r>
        <w:rPr>
          <w:b/>
        </w:rPr>
        <w:t>Aktenzeichen:</w:t>
      </w:r>
      <w:r>
        <w:t xml:space="preserve"> (intern) WAT-ICP-2026/01</w:t>
      </w:r>
    </w:p>
    <w:p>
      <w:pPr>
        <w:jc w:val="left"/>
      </w:pPr>
      <w:r>
        <w:rPr>
          <w:b/>
        </w:rPr>
        <w:t>Erstellt:</w:t>
      </w:r>
      <w:r>
        <w:t xml:space="preserve"> 20. April 2026</w:t>
      </w:r>
    </w:p>
    <w:p>
      <w:pPr>
        <w:jc w:val="left"/>
      </w:pPr>
      <w:r>
        <w:rPr>
          <w:b/>
        </w:rPr>
        <w:t>Bearbeitung:</w:t>
      </w:r>
      <w:r>
        <w:t xml:space="preserve"> KPMG Law GmbH, Frankfurt (Prüfteam: Dr. Ulrike Scharfenberg, Alexander Brems); Koordination: RAin Dr. Boekenkamp</w:t>
      </w:r>
    </w:p>
    <w:p>
      <w:pPr>
        <w:jc w:val="left"/>
      </w:pPr>
      <w:r>
        <w:rPr>
          <w:b/>
        </w:rPr>
        <w:t>Grundlage:</w:t>
      </w:r>
      <w:r>
        <w:t xml:space="preserve"> BAFA-Merkblatt „Grundsätze für die Einhaltung des Exportkontrollrechts" (Stand: September 2022); EU Best Practice Guidelines for Internal Compliance Programmes (EU-Kommission, DG TRADE, Juni 2021)</w:t>
      </w:r>
    </w:p>
    <w:p/>
    <w:p>
      <w:pPr>
        <w:pStyle w:val="Heading2"/>
      </w:pPr>
      <w:r>
        <w:rPr>
          <w:rFonts w:ascii="Times New Roman" w:hAnsi="Times New Roman"/>
        </w:rPr>
        <w:t>1. Auftrag und Prüfungsumfang</w:t>
      </w:r>
    </w:p>
    <w:p>
      <w:pPr>
        <w:jc w:val="left"/>
      </w:pPr>
      <w:r>
        <w:t>Das ICP-Audit wurde am 28. Januar 2026 in Auftrag gegeben und bezieht sich auf den Prüfzeitraum 01.01.2023 bis 31.12.2025. Gegenstand der Prüfung sind:</w:t>
      </w:r>
    </w:p>
    <w:p>
      <w:pPr>
        <w:pStyle w:val="ListBullet"/>
      </w:pPr>
      <w:r>
        <w:t>Aufbauorganisation und Zuständigkeiten im Exportkontrollbereich</w:t>
      </w:r>
    </w:p>
    <w:p>
      <w:pPr>
        <w:pStyle w:val="ListBullet"/>
      </w:pPr>
      <w:r>
        <w:t>Verfahrensanweisungen (SOPs) für Listungsprüfung, Endverbleibsprüfung und Länderbewertung</w:t>
      </w:r>
    </w:p>
    <w:p>
      <w:pPr>
        <w:pStyle w:val="ListBullet"/>
      </w:pPr>
      <w:r>
        <w:t>Schulungsstand der Mitarbeiter (Vertrieb, IT, Logistik, Finanzen)</w:t>
      </w:r>
    </w:p>
    <w:p>
      <w:pPr>
        <w:pStyle w:val="ListBullet"/>
      </w:pPr>
      <w:r>
        <w:t>Technische Systeme (ERP-basierte Exportkontrollprüfung: SAP GTS — Global Trade Services)</w:t>
      </w:r>
    </w:p>
    <w:p>
      <w:pPr>
        <w:pStyle w:val="ListBullet"/>
      </w:pPr>
      <w:r>
        <w:t>Dokumentationsstandards (Archivierung von EUC, Zollanmeldungen, internen Prüfvermerken)</w:t>
      </w:r>
    </w:p>
    <w:p>
      <w:pPr>
        <w:pStyle w:val="ListBullet"/>
      </w:pPr>
      <w:r>
        <w:t>Kommunikation mit dem BAFA (vorherige Kontakte, BAFA-Auskunftsanfragen)</w:t>
      </w:r>
    </w:p>
    <w:p/>
    <w:p>
      <w:pPr>
        <w:pStyle w:val="Heading2"/>
      </w:pPr>
      <w:r>
        <w:rPr>
          <w:rFonts w:ascii="Times New Roman" w:hAnsi="Times New Roman"/>
        </w:rPr>
        <w:t>2. Prüfungsergebnisse — Kritische Feststellungen</w:t>
      </w:r>
    </w:p>
    <w:p>
      <w:pPr>
        <w:pStyle w:val="Heading3"/>
      </w:pPr>
      <w:r>
        <w:rPr>
          <w:rFonts w:ascii="Times New Roman" w:hAnsi="Times New Roman"/>
        </w:rPr>
        <w:t>2.1 Aufbauorganisation</w:t>
      </w:r>
    </w:p>
    <w:p>
      <w:pPr>
        <w:jc w:val="left"/>
      </w:pPr>
      <w:r>
        <w:rPr>
          <w:b/>
        </w:rPr>
        <w:t>Feststellung ICP-1 (Kritisch):</w:t>
      </w:r>
      <w:r>
        <w:t xml:space="preserve"> Die Chief Compliance Officer (CCO) Andrea Faske trägt sowohl die Verantwortung für die allgemeine Compliance als auch speziell für die Exportkontroll-Compliance. Eine funktionale Trennung ist nicht vorhanden. Im BAFA-Merkblatt (Abschnitt 3.2) wird eine dedizierte Exportkontrollfunktion als eigenständige Einheit oder zumindest als klar definierte Sub-Rolle empfohlen.</w:t>
      </w:r>
    </w:p>
    <w:p>
      <w:pPr>
        <w:jc w:val="left"/>
      </w:pPr>
      <w:r>
        <w:rPr>
          <w:b/>
        </w:rPr>
        <w:t>Empfehlung:</w:t>
      </w:r>
      <w:r>
        <w:t xml:space="preserve"> Einführung einer eigenen Stelle „Exportkontrollbeauftragte/r" (EKB) mit direkter Berichtslinie an den Vorstand/GF, nicht über CCO. Budget für Besetzung bis 30.09.2026 vorzusehen.</w:t>
      </w:r>
    </w:p>
    <w:p>
      <w:pPr>
        <w:pStyle w:val="Heading3"/>
      </w:pPr>
      <w:r>
        <w:rPr>
          <w:rFonts w:ascii="Times New Roman" w:hAnsi="Times New Roman"/>
        </w:rPr>
        <w:t>2.2 Verfahrensanweisungen</w:t>
      </w:r>
    </w:p>
    <w:p>
      <w:pPr>
        <w:jc w:val="left"/>
      </w:pPr>
      <w:r>
        <w:rPr>
          <w:b/>
        </w:rPr>
        <w:t>Feststellung ICP-2 (Kritisch):</w:t>
      </w:r>
      <w:r>
        <w:t xml:space="preserve"> Die SOP für die Exportkontrollprüfung (Werkmann-SOP-EK-001, Stand: Juli 2019) enthält keine Regelungen zur Art-4-Prüfung (All-Catch-Klausel) gemäß VO (EU) 2021/821. Die Dual-Use-VO wurde 2021 komplett neu gefasst; die SOP war seit diesem Zeitpunkt nicht aktualisiert worden.</w:t>
      </w:r>
    </w:p>
    <w:p>
      <w:pPr>
        <w:jc w:val="left"/>
      </w:pPr>
      <w:r>
        <w:rPr>
          <w:b/>
        </w:rPr>
        <w:t>Feststellung ICP-3 (Erheblich):</w:t>
      </w:r>
      <w:r>
        <w:t xml:space="preserve"> Die Red-Flag-Checkliste (Werkmann-Form-EK-003) enthält nur neun von zwanzig vom BAFA-Merkblatt empfohlenen Red-Flag-Kriterien. Fehlend sind insbesondere: Überprüfung mehrstufiger Handelsketten, Überprüfung von Intermediär-Gesellschaften auf wirtschaftliche Eigentümer (Beneficial Ownership), OFAC/UN-Listungscheck.</w:t>
      </w:r>
    </w:p>
    <w:p>
      <w:pPr>
        <w:jc w:val="left"/>
      </w:pPr>
      <w:r>
        <w:rPr>
          <w:b/>
        </w:rPr>
        <w:t>Feststellung ICP-4 (Erheblich):</w:t>
      </w:r>
      <w:r>
        <w:t xml:space="preserve"> Die SOP für Endverbleibsprüfung (Werkmann-SOP-EK-003) sieht keine Third-Party-Verification (Vor-Ort-Besuch oder akkreditiertes Audit) vor, auch nicht bei Kunden in Hochrisiko-Ländern.</w:t>
      </w:r>
    </w:p>
    <w:p>
      <w:pPr>
        <w:pStyle w:val="Heading3"/>
      </w:pPr>
      <w:r>
        <w:rPr>
          <w:rFonts w:ascii="Times New Roman" w:hAnsi="Times New Roman"/>
        </w:rPr>
        <w:t>2.3 Schulungsstand</w:t>
      </w:r>
    </w:p>
    <w:p>
      <w:pPr>
        <w:jc w:val="left"/>
      </w:pPr>
      <w:r>
        <w:rPr>
          <w:b/>
        </w:rPr>
        <w:t>Feststellung ICP-5 (Erheblich):</w:t>
      </w:r>
      <w:r>
        <w:t xml:space="preserve"> Im Prüfzeitraum 2023–2025 haben nur 38 % der Vertriebsmitarbeiter (n = 22 von 58) und 21 % der Logistikmitarbeiter an exportkontrollrechtlichen Schulungen teilgenommen. Keine Schulungsveranstaltung fand nach dem Inkrafttreten der VO (EU) 2021/821 (09.09.2021) statt. Die Pflichtschulung (per Betriebsvereinbarung BV-HR-2020-11) sieht eine jährliche Schulung vor; diese Pflicht wurde seit 2022 nicht eingehalten.</w:t>
      </w:r>
    </w:p>
    <w:p>
      <w:pPr>
        <w:pStyle w:val="Heading3"/>
      </w:pPr>
      <w:r>
        <w:rPr>
          <w:rFonts w:ascii="Times New Roman" w:hAnsi="Times New Roman"/>
        </w:rPr>
        <w:t>2.4 Technische Systeme (SAP GTS)</w:t>
      </w:r>
    </w:p>
    <w:p>
      <w:pPr>
        <w:jc w:val="left"/>
      </w:pPr>
      <w:r>
        <w:rPr>
          <w:b/>
        </w:rPr>
        <w:t>Feststellung ICP-6 (Erheblich):</w:t>
      </w:r>
      <w:r>
        <w:t xml:space="preserve"> Das SAP Global Trade Services-Modul (Version: GTS Release S/4HANA 2023) ist für die automatisierte Listungsprüfung eingerichtet, enthält jedoch veraltete Listen-Updates (Stand: Juni 2023; Lieferantenlistung zuletzt geändert Oktober 2025). SDN/EU-Sanktionslisten werden nicht vollautomatisch aktualisiert; manuelle Updates werden mit Verzögerung durchgeführt.</w:t>
      </w:r>
    </w:p>
    <w:p>
      <w:pPr>
        <w:jc w:val="left"/>
      </w:pPr>
      <w:r>
        <w:rPr>
          <w:b/>
        </w:rPr>
        <w:t>Feststellung ICP-7 (Hinweis):</w:t>
      </w:r>
      <w:r>
        <w:t xml:space="preserve"> Keine Integration eines externen Screening-Dienstleisters (z.B. Riskscreen, Refinitiv World-Check) für erweiterte Kundenscreening-Funktionalitäten.</w:t>
      </w:r>
    </w:p>
    <w:p/>
    <w:p>
      <w:pPr>
        <w:pStyle w:val="Heading2"/>
      </w:pPr>
      <w:r>
        <w:rPr>
          <w:rFonts w:ascii="Times New Roman" w:hAnsi="Times New Roman"/>
        </w:rPr>
        <w:t>3. ICP-Überarbeitungsplan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Neubesetzung Exportkontrollbeauftragter (EKB)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GF Werkmann-Lottermann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Aktualisierung SOP-EK-001 (Art-4-Prüfung aufnehmen)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CCO Faske / Kanzlei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Ergänzung Red-Flag-Checkliste auf 20 Kriterien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Erheblich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EKB / Kanzlei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Einführung Pflichtschulung (100 % Vertrieb/Logistik)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Erheblich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HR / CCO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SAP GTS: automatische Listenaktualisierung täglich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Erheblich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IT-Leiter Breitenbach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Integration World-Check Screening-Dienst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Hinweis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30.09.2026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Beschaffung / IT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Einführung Third-Party-Verification für Hochrisikokunden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31.07.2026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EKB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ICP-Gesamtbewertung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 KPMG Law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Aufbauorganisation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Mangelhaft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Verfahrensanweisungen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Mangelhaft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Schulungen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Ungenügend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Technische Systeme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Verbesserungswürdig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Dokumentation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Befriedigend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Behördenkontakte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Befriedigend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Gesamtbewertung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Mangelhaft (Handlungsbedarf dringend)</w:t>
            </w:r>
          </w:p>
        </w:tc>
      </w:tr>
    </w:tbl>
    <w:p>
      <w:pPr>
        <w:jc w:val="left"/>
      </w:pPr>
      <w:r>
        <w:t>Der ICP-Gesamtbericht wird dem BAFA als Anlage zur Stellungnahme übermittelt, verbunden mit dem Nachweis der eingeleiteten Maßnahmen. Dies soll als wesentlicher Milderungsgrund bei der Bußgeldbemessung geltend gemacht werden.</w:t>
      </w:r>
    </w:p>
    <w:p/>
    <w:p>
      <w:pPr>
        <w:jc w:val="left"/>
      </w:pPr>
      <w:r>
        <w:rPr>
          <w:i/>
        </w:rPr>
        <w:t>KPMG Law GmbH, Frankfurt — Prüfbericht ICP-Audit Werkmann Anlagentechnik AG, April 2026 (Kurzfassung für Akte). Vollständiger Bericht: 42 Seiten, vertraulich.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KPMG Law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KPMG Law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Frankfurt (Prüfteam: Dr. Ulrike Scharfenberg, Alexander Brems); Koordination: RAin Dr. Boekenkamp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