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17 — OFAC-Response Werkmann Pharma Inc.: Strategie und Entwurf</w:t>
      </w:r>
    </w:p>
    <w:p>
      <w:pPr>
        <w:jc w:val="left"/>
      </w:pPr>
      <w:r>
        <w:rPr>
          <w:b/>
        </w:rPr>
        <w:t>Referenz:</w:t>
      </w:r>
      <w:r>
        <w:t xml:space="preserve"> OFAC/SDN/IRN-2026-00448</w:t>
      </w:r>
    </w:p>
    <w:p>
      <w:pPr>
        <w:jc w:val="left"/>
      </w:pPr>
      <w:r>
        <w:rPr>
          <w:b/>
        </w:rPr>
        <w:t>Behörde:</w:t>
      </w:r>
      <w:r>
        <w:t xml:space="preserve"> Office of Foreign Assets Control (OFAC), U.S. Department of the Treasury, 1500 Pennsylvania Avenue NW, Washington, DC 20220</w:t>
      </w:r>
    </w:p>
    <w:p>
      <w:pPr>
        <w:jc w:val="left"/>
      </w:pPr>
      <w:r>
        <w:rPr>
          <w:b/>
        </w:rPr>
        <w:t>Erstellt:</w:t>
      </w:r>
      <w:r>
        <w:t xml:space="preserve"> 18. Mai 2026</w:t>
      </w:r>
    </w:p>
    <w:p>
      <w:pPr>
        <w:jc w:val="left"/>
      </w:pPr>
      <w:r>
        <w:rPr>
          <w:b/>
        </w:rPr>
        <w:t>Bearbeitung:</w:t>
      </w:r>
      <w:r>
        <w:t xml:space="preserve"> Brösel Holzapfel &amp; Partner LLP, Washington D.C. (J. Trevor Blackwood Esq., Bartholomäus Dingelstedt Esq.); Koordination: RAin Dr. Boekenkamp</w:t>
      </w:r>
    </w:p>
    <w:p/>
    <w:p>
      <w:pPr>
        <w:pStyle w:val="Heading2"/>
      </w:pPr>
      <w:r>
        <w:rPr>
          <w:rFonts w:ascii="Times New Roman" w:hAnsi="Times New Roman"/>
        </w:rPr>
        <w:t>1. OFAC-Anfrage und Frist</w:t>
      </w:r>
    </w:p>
    <w:p>
      <w:pPr>
        <w:jc w:val="left"/>
      </w:pPr>
      <w:r>
        <w:t>OFAC hat am 15. März 2026 (zugestellt: 18. März 2026) eine administrative Anfrage (Administrative Subpoena / Request for Information) an Werkmann Pharma Inc. (WPh) gerichtet. Die Anfrage bezieht sich auf:</w:t>
      </w:r>
    </w:p>
    <w:p>
      <w:pPr>
        <w:pStyle w:val="ListBullet"/>
      </w:pPr>
      <w:r>
        <w:t>Transaktionen mit iranischen Endabnehmern oder Intermediären in den Jahren 2022–2025</w:t>
      </w:r>
    </w:p>
    <w:p>
      <w:pPr>
        <w:pStyle w:val="ListBullet"/>
      </w:pPr>
      <w:r>
        <w:t>Verwendung von US-Ursprungs-Gütern oder -Technologien in Lieferungen an Iran</w:t>
      </w:r>
    </w:p>
    <w:p>
      <w:pPr>
        <w:jc w:val="left"/>
      </w:pPr>
      <w:r>
        <w:t>Ursprüngliche Frist: 17. April 2026 (30 Tage). Auf Antrag von Brösel Holzapfel &amp; Partner wurde eine Fristverlängerung bis 17. Mai 2026 gewährt. Ein zweiter Verlängerungsantrag (bis 30. Juni 2026) wurde am 14. Mai 2026 gestellt und ist noch ausstehend.</w:t>
      </w:r>
    </w:p>
    <w:p/>
    <w:p>
      <w:pPr>
        <w:pStyle w:val="Heading2"/>
      </w:pPr>
      <w:r>
        <w:rPr>
          <w:rFonts w:ascii="Times New Roman" w:hAnsi="Times New Roman"/>
        </w:rPr>
        <w:t>2. Inhalt der OFAC-Response (Strategie)</w:t>
      </w:r>
    </w:p>
    <w:p>
      <w:pPr>
        <w:pStyle w:val="Heading3"/>
      </w:pPr>
      <w:r>
        <w:rPr>
          <w:rFonts w:ascii="Times New Roman" w:hAnsi="Times New Roman"/>
        </w:rPr>
        <w:t>2.1 Vollständigkeit und Kooperation</w:t>
      </w:r>
    </w:p>
    <w:p>
      <w:pPr>
        <w:jc w:val="left"/>
      </w:pPr>
      <w:r>
        <w:t>OFAC-Policy sieht vor, dass vollständige und kooperative Antworten bei der Ermessensentscheidung über Maßnahmen (Warning Letter, Finding of Violation, Civil Penalty) berücksichtigt werden. Die OFAC Economic Sanctions Enforcement Guidelines (31 C.F.R. Part 501, Appendix A) nennen Kooperation als „General Factor (G)(7)" mit erheblichem Gewicht bei der Penalty-Berechnung.</w:t>
      </w:r>
    </w:p>
    <w:p>
      <w:pPr>
        <w:pStyle w:val="Heading3"/>
      </w:pPr>
      <w:r>
        <w:rPr>
          <w:rFonts w:ascii="Times New Roman" w:hAnsi="Times New Roman"/>
        </w:rPr>
        <w:t>2.2 Kernaussagen der Response</w:t>
      </w:r>
    </w:p>
    <w:p>
      <w:pPr>
        <w:jc w:val="left"/>
      </w:pPr>
      <w:r>
        <w:t>Die OFAC-Response von Brösel Holzapfel &amp; Partner (Entwurf, Stand: 10. Mai 2026) enthält folgende Kernaussagen:</w:t>
      </w:r>
    </w:p>
    <w:p>
      <w:pPr>
        <w:pStyle w:val="ListNumber"/>
      </w:pPr>
      <w:r>
        <w:t>WPh hat keine direkten Transaktionen mit dem Razi Vaccine Institute oder anderen iranischen Einheiten durchgeführt.</w:t>
      </w:r>
    </w:p>
    <w:p>
      <w:pPr>
        <w:pStyle w:val="ListNumber"/>
      </w:pPr>
      <w:r>
        <w:t>WPh hat keine US-Ursprungs-Software oder -Güter direkt an iranische Parteien exportiert.</w:t>
      </w:r>
    </w:p>
    <w:p>
      <w:pPr>
        <w:pStyle w:val="ListNumber"/>
      </w:pPr>
      <w:r>
        <w:t>WPh war nicht informiert über die Weiterleitung des MFR-3400X nach Iran durch Spengler Engineering AG.</w:t>
      </w:r>
    </w:p>
    <w:p>
      <w:pPr>
        <w:pStyle w:val="ListNumber"/>
      </w:pPr>
      <w:r>
        <w:t>Soweit US-Ursprungs-Komponenten (LabVIEW, TI-Halbleiter) in den von Werkmann AG gelieferten MFR-3400X-Einheiten enthalten sind, war WPh in die betreffenden Verkäufe nicht involviert — die Transaktionen erfolgten über die Muttergesellschaft in Deutschland.</w:t>
      </w:r>
    </w:p>
    <w:p>
      <w:pPr>
        <w:pStyle w:val="ListNumber"/>
      </w:pPr>
      <w:r>
        <w:t>WPh hat nach Bekanntwerden des Sachverhalts unverzüglich einen Compliance-Review eingeleitet und Brösel Holzapfel &amp; Partner mandatiert.</w:t>
      </w:r>
    </w:p>
    <w:p>
      <w:pPr>
        <w:pStyle w:val="Heading3"/>
      </w:pPr>
      <w:r>
        <w:rPr>
          <w:rFonts w:ascii="Times New Roman" w:hAnsi="Times New Roman"/>
        </w:rPr>
        <w:t>2.3 Voluntarily Self-Disclosure (VSD) bei BIS</w:t>
      </w:r>
    </w:p>
    <w:p>
      <w:pPr>
        <w:jc w:val="left"/>
      </w:pPr>
      <w:r>
        <w:t>Parallel zur OFAC-Response wird bei BIS (Bureau of Industry and Security) eine Voluntarily Self-Disclosure eingereicht, die den möglichen EAR-Verstoß durch Einbau von US-kontrollierten Komponenten in den nach Iran weitergeleiteten MFR-3400X anzeigt. Die VSD-Policy des BIS sieht bei freiwilliger Offenbarung eine erhebliche Reduzierung des Bußgeldrahmens vor (BIS Export Enforcement Policy, veröffentlicht 2024: bis zu 50 % Reduktion bei erstmaligem Verstoß und freiwilliger Offenbarung).</w:t>
      </w:r>
    </w:p>
    <w:p/>
    <w:p>
      <w:pPr>
        <w:pStyle w:val="Heading2"/>
      </w:pPr>
      <w:r>
        <w:rPr>
          <w:rFonts w:ascii="Times New Roman" w:hAnsi="Times New Roman"/>
        </w:rPr>
        <w:t>3. SDN-Listungsrisiko — Aktualisierte Bewertung</w:t>
      </w:r>
    </w:p>
    <w:p>
      <w:pPr>
        <w:jc w:val="left"/>
      </w:pPr>
      <w:r>
        <w:t>Nach Auswertung der vorliegenden Informationen und Rücksprache mit US-Kollegen bewertet Brösel Holzapfel &amp; Partner das SDN-Listungsrisiko für Werkmann AG und WPh wie folgt: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Risikofaktor</w:t>
            </w:r>
          </w:p>
        </w:tc>
        <w:tc>
          <w:tcPr>
            <w:tcW w:type="dxa" w:w="4536"/>
          </w:tcPr>
          <w:p>
            <w:r>
              <w:rPr>
                <w:rFonts w:ascii="Times New Roman" w:hAnsi="Times New Roman"/>
                <w:b/>
                <w:sz w:val="20"/>
              </w:rPr>
              <w:t>Einschätzung</w:t>
            </w:r>
          </w:p>
        </w:tc>
      </w:tr>
      <w:tr>
        <w:tc>
          <w:tcPr>
            <w:tcW w:type="dxa" w:w="4536"/>
          </w:tcPr>
          <w:p>
            <w:r>
              <w:rPr>
                <w:rFonts w:ascii="Times New Roman" w:hAnsi="Times New Roman"/>
                <w:sz w:val="20"/>
              </w:rPr>
              <w:t>Direkter Iran-Kontakt von WPh</w:t>
            </w:r>
          </w:p>
        </w:tc>
        <w:tc>
          <w:tcPr>
            <w:tcW w:type="dxa" w:w="4536"/>
          </w:tcPr>
          <w:p>
            <w:r>
              <w:rPr>
                <w:rFonts w:ascii="Times New Roman" w:hAnsi="Times New Roman"/>
                <w:sz w:val="20"/>
              </w:rPr>
              <w:t>Nicht festgestellt → Risiko gering</w:t>
            </w:r>
          </w:p>
        </w:tc>
      </w:tr>
      <w:tr>
        <w:tc>
          <w:tcPr>
            <w:tcW w:type="dxa" w:w="4536"/>
          </w:tcPr>
          <w:p>
            <w:r>
              <w:rPr>
                <w:rFonts w:ascii="Times New Roman" w:hAnsi="Times New Roman"/>
                <w:sz w:val="20"/>
              </w:rPr>
              <w:t>Wissenszurechnung Iran-Lieferung</w:t>
            </w:r>
          </w:p>
        </w:tc>
        <w:tc>
          <w:tcPr>
            <w:tcW w:type="dxa" w:w="4536"/>
          </w:tcPr>
          <w:p>
            <w:r>
              <w:rPr>
                <w:rFonts w:ascii="Times New Roman" w:hAnsi="Times New Roman"/>
                <w:sz w:val="20"/>
              </w:rPr>
              <w:t>Werkmann AG nicht WPh → Risiko gering für WPh</w:t>
            </w:r>
          </w:p>
        </w:tc>
      </w:tr>
      <w:tr>
        <w:tc>
          <w:tcPr>
            <w:tcW w:type="dxa" w:w="4536"/>
          </w:tcPr>
          <w:p>
            <w:r>
              <w:rPr>
                <w:rFonts w:ascii="Times New Roman" w:hAnsi="Times New Roman"/>
                <w:sz w:val="20"/>
              </w:rPr>
              <w:t>US-Ursprungs-Komponenten in Iran-Endprodukt</w:t>
            </w:r>
          </w:p>
        </w:tc>
        <w:tc>
          <w:tcPr>
            <w:tcW w:type="dxa" w:w="4536"/>
          </w:tcPr>
          <w:p>
            <w:r>
              <w:rPr>
                <w:rFonts w:ascii="Times New Roman" w:hAnsi="Times New Roman"/>
                <w:sz w:val="20"/>
              </w:rPr>
              <w:t>Vorhanden → Risiko erhöht (EAR)</w:t>
            </w:r>
          </w:p>
        </w:tc>
      </w:tr>
      <w:tr>
        <w:tc>
          <w:tcPr>
            <w:tcW w:type="dxa" w:w="4536"/>
          </w:tcPr>
          <w:p>
            <w:r>
              <w:rPr>
                <w:rFonts w:ascii="Times New Roman" w:hAnsi="Times New Roman"/>
                <w:sz w:val="20"/>
              </w:rPr>
              <w:t>Kooperation mit OFAC/BIS</w:t>
            </w:r>
          </w:p>
        </w:tc>
        <w:tc>
          <w:tcPr>
            <w:tcW w:type="dxa" w:w="4536"/>
          </w:tcPr>
          <w:p>
            <w:r>
              <w:rPr>
                <w:rFonts w:ascii="Times New Roman" w:hAnsi="Times New Roman"/>
                <w:sz w:val="20"/>
              </w:rPr>
              <w:t>Vollständig → Risiko gemindert</w:t>
            </w:r>
          </w:p>
        </w:tc>
      </w:tr>
      <w:tr>
        <w:tc>
          <w:tcPr>
            <w:tcW w:type="dxa" w:w="4536"/>
          </w:tcPr>
          <w:p>
            <w:r>
              <w:rPr>
                <w:rFonts w:ascii="Times New Roman" w:hAnsi="Times New Roman"/>
                <w:sz w:val="20"/>
              </w:rPr>
              <w:t>Vorherige OFAC-Verstöße</w:t>
            </w:r>
          </w:p>
        </w:tc>
        <w:tc>
          <w:tcPr>
            <w:tcW w:type="dxa" w:w="4536"/>
          </w:tcPr>
          <w:p>
            <w:r>
              <w:rPr>
                <w:rFonts w:ascii="Times New Roman" w:hAnsi="Times New Roman"/>
                <w:sz w:val="20"/>
              </w:rPr>
              <w:t>Keine → Risiko gering</w:t>
            </w:r>
          </w:p>
        </w:tc>
      </w:tr>
      <w:tr>
        <w:tc>
          <w:tcPr>
            <w:tcW w:type="dxa" w:w="4536"/>
          </w:tcPr>
          <w:p>
            <w:r>
              <w:rPr>
                <w:rFonts w:ascii="Times New Roman" w:hAnsi="Times New Roman"/>
                <w:b/>
                <w:sz w:val="20"/>
              </w:rPr>
              <w:t>Gesamtrisiko SDN-Listung</w:t>
            </w:r>
          </w:p>
        </w:tc>
        <w:tc>
          <w:tcPr>
            <w:tcW w:type="dxa" w:w="4536"/>
          </w:tcPr>
          <w:p>
            <w:r>
              <w:rPr>
                <w:rFonts w:ascii="Times New Roman" w:hAnsi="Times New Roman"/>
                <w:b/>
                <w:sz w:val="20"/>
              </w:rPr>
              <w:t>Niedrig bis moderat</w:t>
            </w:r>
          </w:p>
        </w:tc>
      </w:tr>
    </w:tbl>
    <w:p/>
    <w:p>
      <w:pPr>
        <w:pStyle w:val="Heading2"/>
      </w:pPr>
      <w:r>
        <w:rPr>
          <w:rFonts w:ascii="Times New Roman" w:hAnsi="Times New Roman"/>
        </w:rPr>
        <w:t>4. Koordination Deutschland/USA</w:t>
      </w:r>
    </w:p>
    <w:p>
      <w:pPr>
        <w:jc w:val="left"/>
      </w:pPr>
      <w:r>
        <w:t>Wöchentliche Telefonkonferenz: Montags 15:00 MEZ / 9:00 EST. Nächste TelKo: 25. Mai 2026.</w:t>
      </w:r>
    </w:p>
    <w:p>
      <w:pPr>
        <w:jc w:val="left"/>
      </w:pPr>
      <w:r>
        <w:t>Datenaustausch: Verschlüsselt über Brösel Holzapfel &amp; Partner HL-SharePoint-Portal (EU-konforme Datenspeicherung, Frankfurt-Rechenzentrum).</w:t>
      </w:r>
    </w:p>
    <w:p/>
    <w:p>
      <w:pPr>
        <w:jc w:val="left"/>
      </w:pPr>
      <w:r>
        <w:rPr>
          <w:i/>
        </w:rPr>
        <w:t>Brösel Holzapfel &amp; Partner LLP, Washington D.C. — Koordinationsvermerk für Werkmann-Akte. Vertraulich.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Behörde: Office of Foreign Assets Control (OFAC)</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Behörde: Office of Foreign Assets Control (OFAC)</w:t>
    </w:r>
  </w:p>
  <w:p>
    <w:pPr>
      <w:jc w:val="left"/>
      <w:pBdr>
        <w:bottom w:val="single" w:sz="6" w:space="2" w:color="3B3F45"/>
      </w:pBdr>
    </w:pPr>
    <w:r>
      <w:rPr>
        <w:rFonts w:ascii="Times New Roman" w:hAnsi="Times New Roman"/>
        <w:color w:val="6B6B66"/>
        <w:sz w:val="16"/>
      </w:rPr>
      <w:t>U.S. Department of the Treasury, 1500 Pennsylvania Avenue NW, Washington, DC 20220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