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22 — Qualitätssicherung und Compliance-Neuaufstellung: Lehren aus dem Werkmann-Komplex</w:t>
      </w:r>
    </w:p>
    <w:p>
      <w:pPr>
        <w:jc w:val="left"/>
      </w:pPr>
      <w:r>
        <w:rPr>
          <w:b/>
        </w:rPr>
        <w:t>Erstellt:</w:t>
      </w:r>
      <w:r>
        <w:t xml:space="preserve"> 15. Oktober 2026</w:t>
      </w:r>
    </w:p>
    <w:p>
      <w:pPr>
        <w:jc w:val="left"/>
      </w:pPr>
      <w:r>
        <w:rPr>
          <w:b/>
        </w:rPr>
        <w:t>Bearbeitung:</w:t>
      </w:r>
      <w:r>
        <w:t xml:space="preserve"> RAin Dr. Carola Boekenkamp; EKB Dr. Martina Heller-Krentz (Werkmann)</w:t>
      </w:r>
    </w:p>
    <w:p>
      <w:pPr>
        <w:jc w:val="left"/>
      </w:pPr>
      <w:r>
        <w:rPr>
          <w:b/>
        </w:rPr>
        <w:t>Adressat:</w:t>
      </w:r>
      <w:r>
        <w:t xml:space="preserve"> Aufsichtsrat Werkmann Anlagentechnik AG (als Abschlusspräsentation)</w:t>
      </w:r>
    </w:p>
    <w:p/>
    <w:p>
      <w:pPr>
        <w:pStyle w:val="Heading2"/>
      </w:pPr>
      <w:r>
        <w:rPr>
          <w:rFonts w:ascii="Times New Roman" w:hAnsi="Times New Roman"/>
        </w:rPr>
        <w:t>1. Zusammenfassung des Komplexes</w:t>
      </w:r>
    </w:p>
    <w:p>
      <w:pPr>
        <w:jc w:val="left"/>
      </w:pPr>
      <w:r>
        <w:t>Der Werkmann-Komplex hat innerhalb von acht Monaten (März bis Oktober 2026) sechs parallele Rechtsverfahren in drei Jurisdiktionen (Deutschland, USA, Frankreich-ICC) erfordert und ca. 3,8 Millionen EUR an Rechts- und Beratungskosten sowie Bußgeldern verursacht (BAFA: 95.000 EUR; CBAM: 22.000 EUR; Brösel Holzapfel &amp; Partner Honorar: ca. 1,2 Millionen USD; Kanzlei Frankfurt: ca. 800.000 EUR; KPMG Law: ca. 350.000 EUR; sonstige Sachverständige: ca. 120.000 EUR).</w:t>
      </w:r>
    </w:p>
    <w:p>
      <w:pPr>
        <w:jc w:val="left"/>
      </w:pPr>
      <w:r>
        <w:t>Das Kernergebnis ist positiv: Kein Unternehmen wurde auf die SDN-Liste gesetzt; keine Strafverfolgung in Deutschland oder USA; das ICC-Schiedsverfahren läuft plangemäß; die TianYuan-Transaktion ist auf dem Weg.</w:t>
      </w:r>
    </w:p>
    <w:p/>
    <w:p>
      <w:pPr>
        <w:pStyle w:val="Heading2"/>
      </w:pPr>
      <w:r>
        <w:rPr>
          <w:rFonts w:ascii="Times New Roman" w:hAnsi="Times New Roman"/>
        </w:rPr>
        <w:t>2. Systemische Ursachen der Compliance-Mängel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Ursache</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Veraltetes ICP (SOP nicht aktualisiert seit 2019)</w:t>
            </w:r>
          </w:p>
        </w:tc>
        <w:tc>
          <w:tcPr>
            <w:tcW w:type="dxa" w:w="4536"/>
          </w:tcPr>
          <w:p>
            <w:r>
              <w:rPr>
                <w:rFonts w:ascii="Times New Roman" w:hAnsi="Times New Roman"/>
                <w:sz w:val="20"/>
              </w:rPr>
              <w:t>Hauptursache BAFA-Verstoß</w:t>
            </w:r>
          </w:p>
        </w:tc>
      </w:tr>
      <w:tr>
        <w:tc>
          <w:tcPr>
            <w:tcW w:type="dxa" w:w="4536"/>
          </w:tcPr>
          <w:p>
            <w:r>
              <w:rPr>
                <w:rFonts w:ascii="Times New Roman" w:hAnsi="Times New Roman"/>
                <w:sz w:val="20"/>
              </w:rPr>
              <w:t>Keine Art-4-Schulung nach VO (EU) 2021/821</w:t>
            </w:r>
          </w:p>
        </w:tc>
        <w:tc>
          <w:tcPr>
            <w:tcW w:type="dxa" w:w="4536"/>
          </w:tcPr>
          <w:p>
            <w:r>
              <w:rPr>
                <w:rFonts w:ascii="Times New Roman" w:hAnsi="Times New Roman"/>
                <w:sz w:val="20"/>
              </w:rPr>
              <w:t>Ursache unzureichende Listungsprüfung</w:t>
            </w:r>
          </w:p>
        </w:tc>
      </w:tr>
      <w:tr>
        <w:tc>
          <w:tcPr>
            <w:tcW w:type="dxa" w:w="4536"/>
          </w:tcPr>
          <w:p>
            <w:r>
              <w:rPr>
                <w:rFonts w:ascii="Times New Roman" w:hAnsi="Times New Roman"/>
                <w:sz w:val="20"/>
              </w:rPr>
              <w:t>Mehrstufige Handelskette ohne Enhanced Due Diligence</w:t>
            </w:r>
          </w:p>
        </w:tc>
        <w:tc>
          <w:tcPr>
            <w:tcW w:type="dxa" w:w="4536"/>
          </w:tcPr>
          <w:p>
            <w:r>
              <w:rPr>
                <w:rFonts w:ascii="Times New Roman" w:hAnsi="Times New Roman"/>
                <w:sz w:val="20"/>
              </w:rPr>
              <w:t>Ursache Spengler/Razi-Weiterleitung</w:t>
            </w:r>
          </w:p>
        </w:tc>
      </w:tr>
      <w:tr>
        <w:tc>
          <w:tcPr>
            <w:tcW w:type="dxa" w:w="4536"/>
          </w:tcPr>
          <w:p>
            <w:r>
              <w:rPr>
                <w:rFonts w:ascii="Times New Roman" w:hAnsi="Times New Roman"/>
                <w:sz w:val="20"/>
              </w:rPr>
              <w:t>Auslandsvertreter-Due-Diligence unzureichend</w:t>
            </w:r>
          </w:p>
        </w:tc>
        <w:tc>
          <w:tcPr>
            <w:tcW w:type="dxa" w:w="4536"/>
          </w:tcPr>
          <w:p>
            <w:r>
              <w:rPr>
                <w:rFonts w:ascii="Times New Roman" w:hAnsi="Times New Roman"/>
                <w:sz w:val="20"/>
              </w:rPr>
              <w:t>Ursache Al-Quwairy-Korruptionsrisiko</w:t>
            </w:r>
          </w:p>
        </w:tc>
      </w:tr>
      <w:tr>
        <w:tc>
          <w:tcPr>
            <w:tcW w:type="dxa" w:w="4536"/>
          </w:tcPr>
          <w:p>
            <w:r>
              <w:rPr>
                <w:rFonts w:ascii="Times New Roman" w:hAnsi="Times New Roman"/>
                <w:sz w:val="20"/>
              </w:rPr>
              <w:t>IT-Zugriffsrechte-Management mangelhaft</w:t>
            </w:r>
          </w:p>
        </w:tc>
        <w:tc>
          <w:tcPr>
            <w:tcW w:type="dxa" w:w="4536"/>
          </w:tcPr>
          <w:p>
            <w:r>
              <w:rPr>
                <w:rFonts w:ascii="Times New Roman" w:hAnsi="Times New Roman"/>
                <w:sz w:val="20"/>
              </w:rPr>
              <w:t>Ursache Nasseri-Datenverlust</w:t>
            </w:r>
          </w:p>
        </w:tc>
      </w:tr>
      <w:tr>
        <w:tc>
          <w:tcPr>
            <w:tcW w:type="dxa" w:w="4536"/>
          </w:tcPr>
          <w:p>
            <w:r>
              <w:rPr>
                <w:rFonts w:ascii="Times New Roman" w:hAnsi="Times New Roman"/>
                <w:sz w:val="20"/>
              </w:rPr>
              <w:t>Fehlende Exportkontroll-Spezialisierung in CCO-Rolle</w:t>
            </w:r>
          </w:p>
        </w:tc>
        <w:tc>
          <w:tcPr>
            <w:tcW w:type="dxa" w:w="4536"/>
          </w:tcPr>
          <w:p>
            <w:r>
              <w:rPr>
                <w:rFonts w:ascii="Times New Roman" w:hAnsi="Times New Roman"/>
                <w:sz w:val="20"/>
              </w:rPr>
              <w:t>Strukturelles Organisationsproblem</w:t>
            </w:r>
          </w:p>
        </w:tc>
      </w:tr>
    </w:tbl>
    <w:p/>
    <w:p>
      <w:pPr>
        <w:pStyle w:val="Heading2"/>
      </w:pPr>
      <w:r>
        <w:rPr>
          <w:rFonts w:ascii="Times New Roman" w:hAnsi="Times New Roman"/>
        </w:rPr>
        <w:t>3. Eingeleitete Strukturmaßnahmen</w:t>
      </w:r>
    </w:p>
    <w:p>
      <w:pPr>
        <w:pStyle w:val="Heading3"/>
      </w:pPr>
      <w:r>
        <w:rPr>
          <w:rFonts w:ascii="Times New Roman" w:hAnsi="Times New Roman"/>
        </w:rPr>
        <w:t>3.1 Governance</w:t>
      </w:r>
    </w:p>
    <w:p>
      <w:pPr>
        <w:pStyle w:val="ListBullet"/>
      </w:pPr>
      <w:r>
        <w:t>Eigenständige EKB-Stelle (Dr. Heller-Krentz) mit Berichtslinie direkt an GF</w:t>
      </w:r>
    </w:p>
    <w:p>
      <w:pPr>
        <w:pStyle w:val="ListBullet"/>
      </w:pPr>
      <w:r>
        <w:t>Exportkontrollausschuss (EKA) eingerichtet: GF, EKB, CFO, Vertriebsleiter, IT-Leiter — monatliche Sitzung</w:t>
      </w:r>
    </w:p>
    <w:p>
      <w:pPr>
        <w:pStyle w:val="ListBullet"/>
      </w:pPr>
      <w:r>
        <w:t>Jährlicher Compliance-Bericht an Aufsichtsrat</w:t>
      </w:r>
    </w:p>
    <w:p>
      <w:pPr>
        <w:pStyle w:val="Heading3"/>
      </w:pPr>
      <w:r>
        <w:rPr>
          <w:rFonts w:ascii="Times New Roman" w:hAnsi="Times New Roman"/>
        </w:rPr>
        <w:t>3.2 Prozesse</w:t>
      </w:r>
    </w:p>
    <w:p>
      <w:pPr>
        <w:pStyle w:val="ListBullet"/>
      </w:pPr>
      <w:r>
        <w:t>Überarbeitete SOP-EK-001 (Art-4-Prüfung, Red-Flag-Analyse auf 20 Kriterien, Third-Party-Verification)</w:t>
      </w:r>
    </w:p>
    <w:p>
      <w:pPr>
        <w:pStyle w:val="ListBullet"/>
      </w:pPr>
      <w:r>
        <w:t>Enhanced Due Diligence-Protokoll für Kunden in Hochrisiko-Ländern (BAFA-Länderliste)</w:t>
      </w:r>
    </w:p>
    <w:p>
      <w:pPr>
        <w:pStyle w:val="ListBullet"/>
      </w:pPr>
      <w:r>
        <w:t>Anti-Korruptions-SOP für Auslandsvertreter (Compliance-Zertifizierung, jährliches Audit)</w:t>
      </w:r>
    </w:p>
    <w:p>
      <w:pPr>
        <w:pStyle w:val="ListBullet"/>
      </w:pPr>
      <w:r>
        <w:t>IT-Offboarding-Protokoll: Zugangssperrung am letzten Arbeitstag</w:t>
      </w:r>
    </w:p>
    <w:p>
      <w:pPr>
        <w:pStyle w:val="Heading3"/>
      </w:pPr>
      <w:r>
        <w:rPr>
          <w:rFonts w:ascii="Times New Roman" w:hAnsi="Times New Roman"/>
        </w:rPr>
        <w:t>3.3 Systeme</w:t>
      </w:r>
    </w:p>
    <w:p>
      <w:pPr>
        <w:pStyle w:val="ListBullet"/>
      </w:pPr>
      <w:r>
        <w:t>SAP GTS tägliche Auto-Update-Konfiguration (Liefertage-Sanktionslisten)</w:t>
      </w:r>
    </w:p>
    <w:p>
      <w:pPr>
        <w:pStyle w:val="ListBullet"/>
      </w:pPr>
      <w:r>
        <w:t>Refinitiv World-Check-Integration für Kundenscreening</w:t>
      </w:r>
    </w:p>
    <w:p>
      <w:pPr>
        <w:pStyle w:val="ListBullet"/>
      </w:pPr>
      <w:r>
        <w:t>Oracle AGSS für ECCN-Klassifikation und EAR-Compliance</w:t>
      </w:r>
    </w:p>
    <w:p>
      <w:pPr>
        <w:pStyle w:val="Heading3"/>
      </w:pPr>
      <w:r>
        <w:rPr>
          <w:rFonts w:ascii="Times New Roman" w:hAnsi="Times New Roman"/>
        </w:rPr>
        <w:t>3.4 Schulungen</w:t>
      </w:r>
    </w:p>
    <w:p>
      <w:pPr>
        <w:pStyle w:val="ListBullet"/>
      </w:pPr>
      <w:r>
        <w:t>Pflichtschulung „Exportkontrolle Grundlagen" (4h) für 100 % der Mitarbeiter in Vertrieb und Logistik — abgeschlossen September 2026</w:t>
      </w:r>
    </w:p>
    <w:p>
      <w:pPr>
        <w:pStyle w:val="ListBullet"/>
      </w:pPr>
      <w:r>
        <w:t>Jahresschulung Anti-Korruption für alle Auslandsvertreter (Online-Modul + Unterschrift)</w:t>
      </w:r>
    </w:p>
    <w:p>
      <w:pPr>
        <w:pStyle w:val="ListBullet"/>
      </w:pPr>
      <w:r>
        <w:t>Halbjährliche Updates zur Dual-Use-VO-Änderungen</w:t>
      </w:r>
    </w:p>
    <w:p/>
    <w:p>
      <w:pPr>
        <w:pStyle w:val="Heading2"/>
      </w:pPr>
      <w:r>
        <w:rPr>
          <w:rFonts w:ascii="Times New Roman" w:hAnsi="Times New Roman"/>
        </w:rPr>
        <w:t>4. Empfehlungen für die Zukunft</w:t>
      </w:r>
    </w:p>
    <w:p>
      <w:pPr>
        <w:pStyle w:val="ListNumber"/>
      </w:pPr>
      <w:r>
        <w:rPr>
          <w:b/>
        </w:rPr>
        <w:t>Jährliche externe ICP-Überprüfung</w:t>
      </w:r>
      <w:r>
        <w:t xml:space="preserve"> durch unabhängigen Exportkontroll-Experten — unabhängig von KPMG Law.</w:t>
      </w:r>
    </w:p>
    <w:p>
      <w:pPr>
        <w:pStyle w:val="ListNumber"/>
      </w:pPr>
      <w:r>
        <w:rPr>
          <w:b/>
        </w:rPr>
        <w:t>Red-Flag-Register:</w:t>
      </w:r>
      <w:r>
        <w:t xml:space="preserve"> Führung eines aktualisierten Registers aller identifizierten Red Flags in laufenden Transaktionen.</w:t>
      </w:r>
    </w:p>
    <w:p>
      <w:pPr>
        <w:pStyle w:val="ListNumber"/>
      </w:pPr>
      <w:r>
        <w:rPr>
          <w:b/>
        </w:rPr>
        <w:t>Escrow-Klausel für Auslandsvertreter:</w:t>
      </w:r>
      <w:r>
        <w:t xml:space="preserve"> Provisionszahlungen über Escrow-Konto, Freigabe erst nach Anti-Korruptions-Audit.</w:t>
      </w:r>
    </w:p>
    <w:p>
      <w:pPr>
        <w:pStyle w:val="ListNumber"/>
      </w:pPr>
      <w:r>
        <w:rPr>
          <w:b/>
        </w:rPr>
        <w:t>Investitionsprüfung proaktiv:</w:t>
      </w:r>
      <w:r>
        <w:t xml:space="preserve"> Bei künftigen M&amp;A-Transaktionen mit Drittstaatbeteiligung frühzeitig (vor Signing) BMWK-Kontakt suchen.</w:t>
      </w:r>
    </w:p>
    <w:p>
      <w:pPr>
        <w:pStyle w:val="ListNumber"/>
      </w:pPr>
      <w:r>
        <w:rPr>
          <w:b/>
        </w:rPr>
        <w:t>ICC-Schiedsklausel optimieren:</w:t>
      </w:r>
      <w:r>
        <w:t xml:space="preserve"> Zukünftige Lieferverträge: ICC-Vorauszahlungsregelung einführen; SAT-Protokoll ohne Reservierungsmöglichkeit formulieren; Arbitration mit Interim Measures Clause stärken.</w:t>
      </w:r>
    </w:p>
    <w:p/>
    <w:p>
      <w:pPr>
        <w:pStyle w:val="Heading2"/>
      </w:pPr>
      <w:r>
        <w:rPr>
          <w:rFonts w:ascii="Times New Roman" w:hAnsi="Times New Roman"/>
        </w:rPr>
        <w:t>5. Schlussbetrachtung</w:t>
      </w:r>
    </w:p>
    <w:p>
      <w:pPr>
        <w:jc w:val="left"/>
      </w:pPr>
      <w:r>
        <w:t>Der Werkmann-Komplex zeigt exemplarisch, wie eine Kombination aus exportkontrollrechtlichen, sanktionsrechtlichen, korruptionsstrafrechtlichen und investitionsprüfungsrechtlichen Risiken ein mittelständisches Unternehmen gleichzeitig treffen kann. Das Internationales Wirtschaftsrecht ist in einer globalisierten, zunehmend fragmentierten Welt keine Randmaterie, sondern ein Kernkompetenzfeld für jeden exportorientierten deutschen Mittelständler.</w:t>
      </w:r>
    </w:p>
    <w:p>
      <w:pPr>
        <w:jc w:val="left"/>
      </w:pPr>
      <w:r>
        <w:t>Die Werkmann Anlagentechnik AG hat aus dieser Krise Stärke gezogen: Das Compliance-Programm ist nun eines der ausgefeiltesten in der Branche. Die Mandantin ist für die Herausforderungen der nächsten Dekade gerüstet.</w:t>
      </w:r>
    </w:p>
    <w:p/>
    <w:p>
      <w:pPr>
        <w:jc w:val="left"/>
      </w:pPr>
      <w:r>
        <w:rPr>
          <w:i/>
        </w:rPr>
        <w:t>Abschlussbericht für Aufsichtsrat — Dr. Boekenkamp / Dr. Heller-Krentz — Oktober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Aufsichtsrat Werkmann Anlagentechnik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Aufsichtsrat Werkmann Anlagentechnik AG</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