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Strafverfahren gegen Reza Amiri: § 95 AufenthG und § 267 StGB</w:t>
      </w:r>
    </w:p>
    <w:p>
      <w:pPr>
        <w:jc w:val="left"/>
      </w:pPr>
      <w:r>
        <w:rPr>
          <w:b/>
        </w:rPr>
        <w:t>Strafverfahren:</w:t>
      </w:r>
      <w:r>
        <w:t xml:space="preserve"> Staatsanwaltschaft Traunstein (Zuständigkeit wegen Tatort Freilassing)</w:t>
      </w:r>
    </w:p>
    <w:p>
      <w:pPr>
        <w:jc w:val="left"/>
      </w:pPr>
      <w:r>
        <w:rPr>
          <w:b/>
        </w:rPr>
        <w:t>Aktenzeichen StA:</w:t>
      </w:r>
      <w:r>
        <w:t xml:space="preserve"> 440 Js 1144/25</w:t>
      </w:r>
    </w:p>
    <w:p>
      <w:pPr>
        <w:jc w:val="left"/>
      </w:pPr>
      <w:r>
        <w:rPr>
          <w:b/>
        </w:rPr>
        <w:t>Stand Asylverfahren:</w:t>
      </w:r>
      <w:r>
        <w:t xml:space="preserve"> VG Hannover 4 A 4188/26</w:t>
      </w:r>
    </w:p>
    <w:p>
      <w:pPr>
        <w:jc w:val="left"/>
      </w:pPr>
      <w:r>
        <w:rPr>
          <w:b/>
        </w:rPr>
        <w:t>Stand:</w:t>
      </w:r>
      <w:r>
        <w:t xml:space="preserve"> 19.04.2026</w:t>
      </w:r>
    </w:p>
    <w:p/>
    <w:p>
      <w:pPr>
        <w:pStyle w:val="Heading2"/>
      </w:pPr>
      <w:r>
        <w:rPr>
          <w:rFonts w:ascii="Times New Roman" w:hAnsi="Times New Roman"/>
        </w:rPr>
        <w:t>1. Vorwürfe im Strafverfahren</w:t>
      </w:r>
    </w:p>
    <w:p>
      <w:pPr>
        <w:jc w:val="left"/>
      </w:pPr>
      <w:r>
        <w:t>Reza Amiri wird von der Staatsanwaltschaft Traunstein zweier Straftaten beschuldigt:</w:t>
      </w:r>
    </w:p>
    <w:p>
      <w:pPr>
        <w:pStyle w:val="Heading3"/>
      </w:pPr>
      <w:r>
        <w:rPr>
          <w:rFonts w:ascii="Times New Roman" w:hAnsi="Times New Roman"/>
        </w:rPr>
        <w:t>1.1 § 95 Abs. 1 Nr. 3 AufenthG — Unerlaubte Einreise</w:t>
      </w:r>
    </w:p>
    <w:p>
      <w:pPr>
        <w:jc w:val="left"/>
      </w:pPr>
      <w:r>
        <w:t>Bei seiner Einreise am 18.03.2025 über Freilassing habe Reza Amiri die Grenze ohne gültige Einreisedokumente überschritten. Gemäß § 14 Abs. 1 Nr. 1 und 2 AufenthG ist eine Einreise unerlaubt, wenn kein anerkanntes Identitätsdokument und kein gültiges Visum vorliegen. Reza führte weder einen gültigen iranischen Pass noch ein Schengen-Visum mit sich.</w:t>
      </w:r>
    </w:p>
    <w:p>
      <w:pPr>
        <w:jc w:val="left"/>
      </w:pPr>
      <w:r>
        <w:rPr>
          <w:b/>
        </w:rPr>
        <w:t>Strafrahmen:</w:t>
      </w:r>
      <w:r>
        <w:t xml:space="preserve"> Geldstrafe oder Freiheitsstrafe bis zu einem Jahr; in besonders schweren Fällen bis zu drei Jahren (§ 95 Abs. 3 AufenthG).</w:t>
      </w:r>
    </w:p>
    <w:p>
      <w:pPr>
        <w:pStyle w:val="Heading3"/>
      </w:pPr>
      <w:r>
        <w:rPr>
          <w:rFonts w:ascii="Times New Roman" w:hAnsi="Times New Roman"/>
        </w:rPr>
        <w:t>1.2 § 267 Abs. 1 StGB — Urkundenfälschung</w:t>
      </w:r>
    </w:p>
    <w:p>
      <w:pPr>
        <w:jc w:val="left"/>
      </w:pPr>
      <w:r>
        <w:t>Reza soll bei der Grenzkontrolle in Freilassing einen gefälschten iranischen Reisepass vorgelegt haben. Bundespolizisten erkannten das Dokument als Fälschung; Reza wurde vorläufig festgenommen und nach 48 Stunden wieder entlassen. Die Staatsanwaltschaft ermittelt wegen Urkundenfälschung.</w:t>
      </w:r>
    </w:p>
    <w:p>
      <w:pPr>
        <w:jc w:val="left"/>
      </w:pPr>
      <w:r>
        <w:rPr>
          <w:b/>
        </w:rPr>
        <w:t>Strafrahmen:</w:t>
      </w:r>
      <w:r>
        <w:t xml:space="preserve"> Freiheitsstrafe bis zu fünf Jahren oder Geldstrafe (§ 267 Abs. 1 StGB); in schweren Fällen bis zu zehn Jahren.</w:t>
      </w:r>
    </w:p>
    <w:p/>
    <w:p>
      <w:pPr>
        <w:pStyle w:val="Heading2"/>
      </w:pPr>
      <w:r>
        <w:rPr>
          <w:rFonts w:ascii="Times New Roman" w:hAnsi="Times New Roman"/>
        </w:rPr>
        <w:t>2. Verteidigung und Koordination</w:t>
      </w:r>
    </w:p>
    <w:p>
      <w:pPr>
        <w:jc w:val="left"/>
      </w:pPr>
      <w:r>
        <w:t>Für das Strafverfahren wurde Pflichtverteidiger RA Karsten Wollberg (Strafrecht Rosenheim) bestellt. RAin Kollatz-Ahnen koordiniert mit ihm die Schnittstellen zwischen Straf- und Asylverfahren, da beide Verfahren sich wechselseitig beeinflussen können.</w:t>
      </w:r>
    </w:p>
    <w:p/>
    <w:p>
      <w:pPr>
        <w:pStyle w:val="Heading2"/>
      </w:pPr>
      <w:r>
        <w:rPr>
          <w:rFonts w:ascii="Times New Roman" w:hAnsi="Times New Roman"/>
        </w:rPr>
        <w:t>3. Wechselwirkungen mit dem Asylverfahren</w:t>
      </w:r>
    </w:p>
    <w:p>
      <w:pPr>
        <w:pStyle w:val="Heading3"/>
      </w:pPr>
      <w:r>
        <w:rPr>
          <w:rFonts w:ascii="Times New Roman" w:hAnsi="Times New Roman"/>
        </w:rPr>
        <w:t>3.1 Auswirkung Strafverfahren auf Asylstatus</w:t>
      </w:r>
    </w:p>
    <w:p>
      <w:pPr>
        <w:jc w:val="left"/>
      </w:pPr>
      <w:r>
        <w:t>Eine rechtskräftige Verurteilung wegen einer Straftat könnte folgende aufenthaltsrechtliche Konsequenzen haben: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54 Abs. 2 Nr. 9 AufenthG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Besonders schweres Ausweisungsinteresse bei Verurteilung zu Freiheitsstrafe ohne Bewährung ≥ 1 Jahr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Gilt nur für Inhaber eines Aufenthaltstitels; Reza hat bisher nur Aufenthaltsgestattung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Abs. 2 AufenthG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Flüchtlingsanerkennung ausgeschlossen bei „schwerer nichtpolitischer Straftat"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 Abs. 2 Nr. 2 AsylG (Ausschlussklausel) — § 267 StGB allein begründet dies nicht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 Abs. 2 Nr. 2 AsylG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Ausschluss vom Flüchtlingsschutz bei „schwerer nichtpolitischer Straftat"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Urkundenfälschung eines Reisepasses i.R. der Flucht gilt nach h.M. nicht als schwere nichtpolitische Straftat</w:t>
            </w:r>
          </w:p>
        </w:tc>
      </w:tr>
    </w:tbl>
    <w:p>
      <w:pPr>
        <w:jc w:val="left"/>
      </w:pPr>
      <w:r>
        <w:t>Nach der Rechtsprechung des BVerwG (Urt. v. 24.11.2009 — 10 C 24.08) und EuGH (Rs. C-57/09 und C-101/09, B und D) ist der Ausschlusstatbestand des § 3 Abs. 2 AsylG eng auszulegen. Die Fälschung eines Reisepasses zur Ermöglichung einer Flucht vor staatlicher Verfolgung fällt nach überwiegender Auffassung nicht unter „schwere nichtpolitische Straftat".</w:t>
      </w:r>
    </w:p>
    <w:p>
      <w:pPr>
        <w:pStyle w:val="Heading3"/>
      </w:pPr>
      <w:r>
        <w:rPr>
          <w:rFonts w:ascii="Times New Roman" w:hAnsi="Times New Roman"/>
        </w:rPr>
        <w:t>3.2 Auswirkung Asylverfahren auf Strafverfahren</w:t>
      </w:r>
    </w:p>
    <w:p>
      <w:pPr>
        <w:jc w:val="left"/>
      </w:pPr>
      <w:r>
        <w:t>Im Strafverfahren ist die asylrechtliche Verfolgungslage ein relevantes Verteidigungsargument: Ein Täter, der aus begründeter Verfolgungsfurcht flieht und zur Flucht gefälschte Dokumente nutzt, handelt in einer Notstandssituation, die strafrechtlich mildernd zu berücksichtigen ist (§ 35 StGB — entschuldigender Notstand — oder zumindest strafmildernd nach § 46 Abs. 2 StGB).</w:t>
      </w:r>
    </w:p>
    <w:p>
      <w:pPr>
        <w:jc w:val="left"/>
      </w:pPr>
      <w:r>
        <w:t>RA Wollberg beabsichtigt, eine Einstellung nach § 153a StPO oder § 47 OWiG anzustreben, hilfsweise Bewährungsstrafe. Die PTBS-Diagnose (sofern bestätigt) stärkt die Position zusätzlich.</w:t>
      </w:r>
    </w:p>
    <w:p>
      <w:pPr>
        <w:pStyle w:val="Heading3"/>
      </w:pPr>
      <w:r>
        <w:rPr>
          <w:rFonts w:ascii="Times New Roman" w:hAnsi="Times New Roman"/>
        </w:rPr>
        <w:t>3.3 Duldungsrisiko durch laufendes Strafverfahren</w:t>
      </w:r>
    </w:p>
    <w:p>
      <w:pPr>
        <w:jc w:val="left"/>
      </w:pPr>
      <w:r>
        <w:t>Solange das Strafverfahren anhängig ist, kann die Ausländerbehörde eine Abschiebung aussetzen (§ 60a Abs. 2 Satz 1 AufenthG — rechtliche Unmöglichkeit der Abschiebung), da eine uneingeschränkte Abschiebung die Prozessführung im Strafverfahren beeinträchtigen würde. Dies gilt insbesondere, wenn Reza als Beschuldigter oder Zeuge benötigt wird.</w:t>
      </w:r>
    </w:p>
    <w:p/>
    <w:p>
      <w:pPr>
        <w:pStyle w:val="Heading2"/>
      </w:pPr>
      <w:r>
        <w:rPr>
          <w:rFonts w:ascii="Times New Roman" w:hAnsi="Times New Roman"/>
        </w:rPr>
        <w:t>4. Zeitplan Strafverfahren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18.03.2025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Festnahme und Entlassung nach 48 Stunden in Freilassing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26.03.2025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Einleitung Ermittlungsverfahren StA Traunstein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04.05.2025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Pflichtverteidiger RA Wollberg bestellt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Anklageschrift StA Traunstein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Hauptverhandlung AG Traunstein — vertagt auf 22.06.2026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Nächster Hauptverhandlungstermin (vorläufig)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Empfehlungen</w:t>
      </w:r>
    </w:p>
    <w:p>
      <w:pPr>
        <w:pStyle w:val="ListBullet"/>
      </w:pPr>
      <w:r>
        <w:t>RAin Kollatz-Ahnen teilt RA Wollberg die aktuellen Entwicklungen im Asylverfahren mit (Klagegründe, BAMF-Ablehnung, Eilantrag), damit diese im Strafverfahren als Kontext dienen können.</w:t>
      </w:r>
    </w:p>
    <w:p>
      <w:pPr>
        <w:pStyle w:val="ListBullet"/>
      </w:pPr>
      <w:r>
        <w:t>Beantragung Einstellung nach § 153a StPO bei der StA Traunstein: Auflagen (z.B. gemeinnützige Arbeit) erscheinen verhältnismäßig.</w:t>
      </w:r>
    </w:p>
    <w:p>
      <w:pPr>
        <w:pStyle w:val="ListBullet"/>
      </w:pPr>
      <w:r>
        <w:t>PTBS-Attest (sobald vorhanden) unverzüglich an RA Wollberg übermitteln.</w:t>
      </w:r>
    </w:p>
    <w:p>
      <w:pPr>
        <w:pStyle w:val="ListBullet"/>
      </w:pPr>
      <w:r>
        <w:t>Koordination zu vermeiden: widersprüchliche Aussagen in Asyl- und Strafverfahren.</w:t>
      </w:r>
    </w:p>
    <w:p/>
    <w:p>
      <w:pPr>
        <w:jc w:val="left"/>
      </w:pPr>
      <w:r>
        <w:rPr>
          <w:b/>
        </w:rPr>
        <w:t>Erstellt:</w:t>
      </w:r>
      <w:r>
        <w:t xml:space="preserve"> 19.04.2026, RAin V. Kollatz-Ahnen</w:t>
      </w:r>
    </w:p>
    <w:p>
      <w:pPr>
        <w:jc w:val="left"/>
      </w:pPr>
      <w:r>
        <w:rPr>
          <w:b/>
        </w:rPr>
        <w:t>Quellen:</w:t>
      </w:r>
      <w:r>
        <w:t xml:space="preserve"> § 95 AufenthG; § 267 StGB; § 3 Abs. 2 AsylG; § 60a AufenthG; BVerwG, Urt. v. 24.11.2009 — 10 C 24.08; EuGH Rs. C-57/09 und C-101/09; § 35, 46 StGB; § 153a StPO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Staatsanwaltschaft Traunstein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Staatsanwaltschaft Traunstein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Aktenzeichen StA: 440 Js 1144/25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