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Kurzvermerk Riedblick Sensorik GmbH</w:t>
      </w:r>
    </w:p>
    <w:p>
      <w:pPr>
        <w:pStyle w:val="Heading2"/>
      </w:pPr>
      <w:r>
        <w:rPr>
          <w:rFonts w:ascii="Times New Roman" w:hAnsi="Times New Roman"/>
        </w:rPr>
        <w:t>Ausgangslage</w:t>
      </w:r>
    </w:p>
    <w:p>
      <w:pPr>
        <w:jc w:val="left"/>
      </w:pPr>
      <w:r>
        <w:t>Riedblick Sensorik GmbH entwickelt Sensorik für industrielle Anlagen, insbesondere für Trocknungs-, Kühl- und Verpackungslinien. Das Projekt "AeroSense Edge Drift Compensation" soll Messfehler vermeiden, die in feuchten, vibrierenden Anlagen bisher nur durch häufige manuelle Rekalibrierung beherrscht werden. Die Entwicklung ist technisch plausibel, aber im Fördervortrag bislang zu wolkig.</w:t>
      </w:r>
    </w:p>
    <w:p>
      <w:pPr>
        <w:jc w:val="left"/>
      </w:pPr>
      <w:r>
        <w:t>Die Geschäftsführung möchte für 2024, 2025 und 2026 Forschungszulage geltend machen. Der technische Antrag bei der BSFZ ist vorbereitet, aber die Rückfrage vom 22.05.2026 verlangt eine präzisere Abgrenzung zum Stand der Technik und eine bessere Beschreibung der technischen Risiken. Das Finanzamt Bad Homburg hat in einer Entwurfsnotiz bereits erkennen lassen, dass pauschale Stundenlisten und Mischrechnungen nicht akzeptiert werden.</w:t>
      </w:r>
    </w:p>
    <w:p>
      <w:pPr>
        <w:pStyle w:val="Heading2"/>
      </w:pPr>
      <w:r>
        <w:rPr>
          <w:rFonts w:ascii="Times New Roman" w:hAnsi="Times New Roman"/>
        </w:rPr>
        <w:t>Kernfragen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Frage</w:t>
            </w:r>
          </w:p>
        </w:tc>
        <w:tc>
          <w:tcPr>
            <w:tcW w:type="dxa" w:w="3024"/>
          </w:tcPr>
          <w:p>
            <w:r>
              <w:rPr>
                <w:rFonts w:ascii="Times New Roman" w:hAnsi="Times New Roman"/>
                <w:b/>
                <w:sz w:val="20"/>
              </w:rPr>
              <w:t>Aktenlage</w:t>
            </w:r>
          </w:p>
        </w:tc>
        <w:tc>
          <w:tcPr>
            <w:tcW w:type="dxa" w:w="3024"/>
          </w:tcPr>
          <w:p>
            <w:r>
              <w:rPr>
                <w:rFonts w:ascii="Times New Roman" w:hAnsi="Times New Roman"/>
                <w:b/>
                <w:sz w:val="20"/>
              </w:rPr>
              <w:t>Sofortproblem</w:t>
            </w:r>
          </w:p>
        </w:tc>
      </w:tr>
      <w:tr>
        <w:tc>
          <w:tcPr>
            <w:tcW w:type="dxa" w:w="3024"/>
          </w:tcPr>
          <w:p>
            <w:r>
              <w:rPr>
                <w:rFonts w:ascii="Times New Roman" w:hAnsi="Times New Roman"/>
                <w:sz w:val="20"/>
              </w:rPr>
              <w:t>Begünstigtes FuE-Vorhaben?</w:t>
            </w:r>
          </w:p>
        </w:tc>
        <w:tc>
          <w:tcPr>
            <w:tcW w:type="dxa" w:w="3024"/>
          </w:tcPr>
          <w:p>
            <w:r>
              <w:rPr>
                <w:rFonts w:ascii="Times New Roman" w:hAnsi="Times New Roman"/>
                <w:sz w:val="20"/>
              </w:rPr>
              <w:t>Projektbeschreibung vorhanden, aber Buzzword-Anteil hoch</w:t>
            </w:r>
          </w:p>
        </w:tc>
        <w:tc>
          <w:tcPr>
            <w:tcW w:type="dxa" w:w="3024"/>
          </w:tcPr>
          <w:p>
            <w:r>
              <w:rPr>
                <w:rFonts w:ascii="Times New Roman" w:hAnsi="Times New Roman"/>
                <w:sz w:val="20"/>
              </w:rPr>
              <w:t>Technische Unsicherheit muss aus Sensorphysik, Drift und Edge-Modell konkret werden</w:t>
            </w:r>
          </w:p>
        </w:tc>
      </w:tr>
      <w:tr>
        <w:tc>
          <w:tcPr>
            <w:tcW w:type="dxa" w:w="3024"/>
          </w:tcPr>
          <w:p>
            <w:r>
              <w:rPr>
                <w:rFonts w:ascii="Times New Roman" w:hAnsi="Times New Roman"/>
                <w:sz w:val="20"/>
              </w:rPr>
              <w:t>Eigene Personalkosten</w:t>
            </w:r>
          </w:p>
        </w:tc>
        <w:tc>
          <w:tcPr>
            <w:tcW w:type="dxa" w:w="3024"/>
          </w:tcPr>
          <w:p>
            <w:r>
              <w:rPr>
                <w:rFonts w:ascii="Times New Roman" w:hAnsi="Times New Roman"/>
                <w:sz w:val="20"/>
              </w:rPr>
              <w:t>14 Personen in Stundentabelle</w:t>
            </w:r>
          </w:p>
        </w:tc>
        <w:tc>
          <w:tcPr>
            <w:tcW w:type="dxa" w:w="3024"/>
          </w:tcPr>
          <w:p>
            <w:r>
              <w:rPr>
                <w:rFonts w:ascii="Times New Roman" w:hAnsi="Times New Roman"/>
                <w:sz w:val="20"/>
              </w:rPr>
              <w:t>Mehrere Einträge sind zu pauschal, Produktmanagement und QA vermischt</w:t>
            </w:r>
          </w:p>
        </w:tc>
      </w:tr>
      <w:tr>
        <w:tc>
          <w:tcPr>
            <w:tcW w:type="dxa" w:w="3024"/>
          </w:tcPr>
          <w:p>
            <w:r>
              <w:rPr>
                <w:rFonts w:ascii="Times New Roman" w:hAnsi="Times New Roman"/>
                <w:sz w:val="20"/>
              </w:rPr>
              <w:t>Auftragsforschung</w:t>
            </w:r>
          </w:p>
        </w:tc>
        <w:tc>
          <w:tcPr>
            <w:tcW w:type="dxa" w:w="3024"/>
          </w:tcPr>
          <w:p>
            <w:r>
              <w:rPr>
                <w:rFonts w:ascii="Times New Roman" w:hAnsi="Times New Roman"/>
                <w:sz w:val="20"/>
              </w:rPr>
              <w:t>Vertrag Lissabon 2025/2026</w:t>
            </w:r>
          </w:p>
        </w:tc>
        <w:tc>
          <w:tcPr>
            <w:tcW w:type="dxa" w:w="3024"/>
          </w:tcPr>
          <w:p>
            <w:r>
              <w:rPr>
                <w:rFonts w:ascii="Times New Roman" w:hAnsi="Times New Roman"/>
                <w:sz w:val="20"/>
              </w:rPr>
              <w:t>EU/EWR ja, aber Weitergabe einzelner Testreihen an UK/Israel prüfen</w:t>
            </w:r>
          </w:p>
        </w:tc>
      </w:tr>
      <w:tr>
        <w:tc>
          <w:tcPr>
            <w:tcW w:type="dxa" w:w="3024"/>
          </w:tcPr>
          <w:p>
            <w:r>
              <w:rPr>
                <w:rFonts w:ascii="Times New Roman" w:hAnsi="Times New Roman"/>
                <w:sz w:val="20"/>
              </w:rPr>
              <w:t>Kumulierung</w:t>
            </w:r>
          </w:p>
        </w:tc>
        <w:tc>
          <w:tcPr>
            <w:tcW w:type="dxa" w:w="3024"/>
          </w:tcPr>
          <w:p>
            <w:r>
              <w:rPr>
                <w:rFonts w:ascii="Times New Roman" w:hAnsi="Times New Roman"/>
                <w:sz w:val="20"/>
              </w:rPr>
              <w:t>ZIM-Vorprojekt und Horizon-Anbahnung</w:t>
            </w:r>
          </w:p>
        </w:tc>
        <w:tc>
          <w:tcPr>
            <w:tcW w:type="dxa" w:w="3024"/>
          </w:tcPr>
          <w:p>
            <w:r>
              <w:rPr>
                <w:rFonts w:ascii="Times New Roman" w:hAnsi="Times New Roman"/>
                <w:sz w:val="20"/>
              </w:rPr>
              <w:t>Kostenstellen trennen, keine Doppelförderung derselben Aufwendungen</w:t>
            </w:r>
          </w:p>
        </w:tc>
      </w:tr>
      <w:tr>
        <w:tc>
          <w:tcPr>
            <w:tcW w:type="dxa" w:w="3024"/>
          </w:tcPr>
          <w:p>
            <w:r>
              <w:rPr>
                <w:rFonts w:ascii="Times New Roman" w:hAnsi="Times New Roman"/>
                <w:sz w:val="20"/>
              </w:rPr>
              <w:t>2026-Neuregelungen</w:t>
            </w:r>
          </w:p>
        </w:tc>
        <w:tc>
          <w:tcPr>
            <w:tcW w:type="dxa" w:w="3024"/>
          </w:tcPr>
          <w:p>
            <w:r>
              <w:rPr>
                <w:rFonts w:ascii="Times New Roman" w:hAnsi="Times New Roman"/>
                <w:sz w:val="20"/>
              </w:rPr>
              <w:t>Projektmodul AP7 beginnt im Januar 2026</w:t>
            </w:r>
          </w:p>
        </w:tc>
        <w:tc>
          <w:tcPr>
            <w:tcW w:type="dxa" w:w="3024"/>
          </w:tcPr>
          <w:p>
            <w:r>
              <w:rPr>
                <w:rFonts w:ascii="Times New Roman" w:hAnsi="Times New Roman"/>
                <w:sz w:val="20"/>
              </w:rPr>
              <w:t>20-Prozent-Pauschale nur bei passenden Stichtagen und nur nach Live-Check einsetzen</w:t>
            </w:r>
          </w:p>
        </w:tc>
      </w:tr>
      <w:tr>
        <w:tc>
          <w:tcPr>
            <w:tcW w:type="dxa" w:w="3024"/>
          </w:tcPr>
          <w:p>
            <w:r>
              <w:rPr>
                <w:rFonts w:ascii="Times New Roman" w:hAnsi="Times New Roman"/>
                <w:sz w:val="20"/>
              </w:rPr>
              <w:t>Liquidität</w:t>
            </w:r>
          </w:p>
        </w:tc>
        <w:tc>
          <w:tcPr>
            <w:tcW w:type="dxa" w:w="3024"/>
          </w:tcPr>
          <w:p>
            <w:r>
              <w:rPr>
                <w:rFonts w:ascii="Times New Roman" w:hAnsi="Times New Roman"/>
                <w:sz w:val="20"/>
              </w:rPr>
              <w:t>Verlustjahr, Bank-Covenant</w:t>
            </w:r>
          </w:p>
        </w:tc>
        <w:tc>
          <w:tcPr>
            <w:tcW w:type="dxa" w:w="3024"/>
          </w:tcPr>
          <w:p>
            <w:r>
              <w:rPr>
                <w:rFonts w:ascii="Times New Roman" w:hAnsi="Times New Roman"/>
                <w:sz w:val="20"/>
              </w:rPr>
              <w:t>Auszahlung/Anrechnung kann wichtig sein, aber keine falsche Insolvenz-Erzählung</w:t>
            </w:r>
          </w:p>
        </w:tc>
      </w:tr>
    </w:tbl>
    <w:p>
      <w:pPr>
        <w:pStyle w:val="Heading2"/>
      </w:pPr>
      <w:r>
        <w:rPr>
          <w:rFonts w:ascii="Times New Roman" w:hAnsi="Times New Roman"/>
        </w:rPr>
        <w:t>Arbeitsauftrag an das Plugin</w:t>
      </w:r>
    </w:p>
    <w:p>
      <w:pPr>
        <w:pStyle w:val="ListNumber"/>
      </w:pPr>
      <w:r>
        <w:t>Fördereignung und Risikoprofil nach FZulG prüfen.</w:t>
      </w:r>
    </w:p>
    <w:p>
      <w:pPr>
        <w:pStyle w:val="ListNumber"/>
      </w:pPr>
      <w:r>
        <w:t>BSFZ-Antwort aus den Aktenstücken entwickeln, ohne technische Übertreibungen.</w:t>
      </w:r>
    </w:p>
    <w:p>
      <w:pPr>
        <w:pStyle w:val="ListNumber"/>
      </w:pPr>
      <w:r>
        <w:t>Bemessungsgrundlage je Wirtschaftsjahr berechnen und rote Positionen markieren.</w:t>
      </w:r>
    </w:p>
    <w:p>
      <w:pPr>
        <w:pStyle w:val="ListNumber"/>
      </w:pPr>
      <w:r>
        <w:t>Finanzamt-Einspruch als nüchterne, belegfähige Argumentation vorbereiten.</w:t>
      </w:r>
    </w:p>
    <w:p>
      <w:pPr>
        <w:pStyle w:val="ListNumber"/>
      </w:pPr>
      <w:r>
        <w:t>Plädoyer für Geschäftsführung und Bank erstellen: realistisch, nicht verkäuferisch.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Kurzvermerk Riedblick Sensorik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Kurzvermerk Riedblick Sensorik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