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Finanzamt Kürzung und Einspruchslage</w:t>
      </w:r>
    </w:p>
    <w:p>
      <w:pPr>
        <w:pStyle w:val="Heading2"/>
      </w:pPr>
      <w:r>
        <w:rPr>
          <w:rFonts w:ascii="Times New Roman" w:hAnsi="Times New Roman"/>
        </w:rPr>
        <w:t>Kürzungsentwurf</w:t>
      </w:r>
    </w:p>
    <w:p>
      <w:pPr>
        <w:jc w:val="left"/>
      </w:pPr>
      <w:r>
        <w:t>Das Finanzamt Bad Homburg hat informell angekündigt, folgende Positionen nicht anzuerkennen: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Begründung Finanzamt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Gegenlinie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Produktmanagement AP6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118.400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Markteinführung statt FuE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akzeptieren oder nur echte technische Restunsicherheit herauslösen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Lissabon-Rechnung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146.000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unklare Unteraufträge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 und Leistungsnachweis auftrennen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Stunden CTO Q4/2025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Management statt Forschung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Kalender, Laborjournal, Code-Review-Belege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Dashboard-Prototyp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74.000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UI/Produkt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wohl streichen, sofern keine technische Unsicherheit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Gemeinkostenpauschale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86.000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Projektbeginn schon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für sauber abgegrenztes AP7 prüfen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Einspruchsstrategie</w:t>
      </w:r>
    </w:p>
    <w:p>
      <w:pPr>
        <w:jc w:val="left"/>
      </w:pPr>
      <w:r>
        <w:t>Nicht alle Kürzungen sollten reflexhaft angegriffen werden. Ein guter Einspruch trennt starke, mittlere und schwache Positionen. Gerade die freiwillige Bereinigung schwacher Positionen kann die Glaubwürdigkeit für AP2/AP3/AP5 erhöhen.</w:t>
      </w:r>
    </w:p>
    <w:p>
      <w:pPr>
        <w:pStyle w:val="Heading2"/>
      </w:pPr>
      <w:r>
        <w:rPr>
          <w:rFonts w:ascii="Times New Roman" w:hAnsi="Times New Roman"/>
        </w:rPr>
        <w:t>Beweisproblem</w:t>
      </w:r>
    </w:p>
    <w:p>
      <w:pPr>
        <w:jc w:val="left"/>
      </w:pPr>
      <w:r>
        <w:t>Die Stundenmatrix ist besser als nichts, aber nicht durchgehend tagesgenau. Für 2024 enthält sie Monatsblöcke; für 2025 einzelne Tage; für 2026 wieder Projektcodes. Das ist reparierbar durch Belegmatrix, aber nicht durch nachträgliches Schönschreiben.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Finanzamt Kürzung und Einspruchslage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Finanzamt Kürzung und Einspruchslage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