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Telefonnotiz Finanzamt</w:t>
      </w:r>
    </w:p>
    <w:p>
      <w:pPr>
        <w:pStyle w:val="Heading2"/>
      </w:pPr>
      <w:r>
        <w:rPr>
          <w:rFonts w:ascii="Times New Roman" w:hAnsi="Times New Roman"/>
        </w:rPr>
        <w:t>Gespräch 28.05.2026, 10:15 Uhr</w:t>
      </w:r>
    </w:p>
    <w:p>
      <w:pPr>
        <w:jc w:val="left"/>
      </w:pPr>
      <w:r>
        <w:t>Teilnehmer: StB Henning Trautmann, Sachbearbeiterin FA Bad Homburg Frau Lenz, RAin Dr. Paula Norderhof zugeschaltet.</w:t>
      </w:r>
    </w:p>
    <w:p>
      <w:pPr>
        <w:jc w:val="left"/>
      </w:pPr>
      <w:r>
        <w:t>Frau Lenz betont, dass die BSFZ-Bescheinigung nicht automatisch die Höhe der förderfähigen Aufwendungen bestätigt. Das Finanzamt werde insbesondere Stundenlisten, Auftragsforschung, Kumulierung und 2026-Pauschale prüfen. Bei pauschalen Tätigkeitsbeschreibungen sei mit Kürzungen zu rechnen. Sie bittet um eine getrennte Matrix: Person, Datum, Arbeitspaket, Tätigkeit, Beleg, Kostenbetrag.</w:t>
      </w:r>
    </w:p>
    <w:p>
      <w:pPr>
        <w:pStyle w:val="Heading2"/>
      </w:pPr>
      <w:r>
        <w:rPr>
          <w:rFonts w:ascii="Times New Roman" w:hAnsi="Times New Roman"/>
        </w:rPr>
        <w:t>Eindruck</w:t>
      </w:r>
    </w:p>
    <w:p>
      <w:pPr>
        <w:jc w:val="left"/>
      </w:pPr>
      <w:r>
        <w:t>Sachlich, nicht ablehnend. Sie reagierte positiv auf den Vorschlag, nicht förderfähige AP6-Arbeiten ausdrücklich auszuscheiden. Kritisch blieb sie bei der Lissabon-Rechnung und der 2026-Pauschale.</w:t>
      </w:r>
    </w:p>
    <w:p>
      <w:pPr>
        <w:pStyle w:val="Heading2"/>
      </w:pPr>
      <w:r>
        <w:rPr>
          <w:rFonts w:ascii="Times New Roman" w:hAnsi="Times New Roman"/>
        </w:rPr>
        <w:t>To-do</w:t>
      </w:r>
    </w:p>
    <w:p>
      <w:pPr>
        <w:pStyle w:val="ListBullet"/>
      </w:pPr>
      <w:r>
        <w:t>Einspruchsentwurf erst nach bereinigter Tabelle.</w:t>
      </w:r>
    </w:p>
    <w:p>
      <w:pPr>
        <w:pStyle w:val="ListBullet"/>
      </w:pPr>
      <w:r>
        <w:t>Keine Maximalforderung ohne Alternativrechnung.</w:t>
      </w:r>
    </w:p>
    <w:p>
      <w:pPr>
        <w:pStyle w:val="ListBullet"/>
      </w:pPr>
      <w:r>
        <w:t>Telefonnotiz mit Frau Lenz nicht als Zusage behandeln.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Telefonnotiz Finanzamt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Telefonnotiz Finanzamt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