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Vorschau: 12_Liquiditaetsplanung_13_Wochen_KW18-KW30</w:t>
      </w:r>
    </w:p>
    <w:p>
      <w:pPr>
        <w:ind w:left="567"/>
      </w:pPr>
      <w:r>
        <w:rPr>
          <w:i/>
        </w:rPr>
        <w:t>Markdown-Vorschau der gleichnamigen XLSX-Datei. Berechnungen, Formeln und Formatierung nur im Original.</w:t>
      </w:r>
    </w:p>
    <w:p>
      <w:pPr>
        <w:pStyle w:val="Heading2"/>
      </w:pPr>
      <w:r>
        <w:rPr>
          <w:rFonts w:ascii="Times New Roman" w:hAnsi="Times New Roman"/>
        </w:rPr>
        <w:t>Sheet: 13-Wochen-Liquidität</w:t>
      </w:r>
    </w:p>
    <w:p>
      <w:pPr>
        <w:pStyle w:val="Heading3"/>
      </w:pPr>
      <w:r>
        <w:rPr>
          <w:rFonts w:ascii="Times New Roman" w:hAnsi="Times New Roman"/>
        </w:rPr>
        <w:t>LIQUIDITÄTSPLANUNG 13 WOCHEN — Paragrafix GmbH — KW 18 bis KW 30 / 2026</w:t>
      </w:r>
    </w:p>
    <w:p>
      <w:pPr>
        <w:jc w:val="left"/>
      </w:pPr>
      <w:r>
        <w:t>_§ 17 InsO — 3-Wochen-Test Zahlungsfähigkeit \| Stichtag Ist: 02.05.2026 \| Erstellt: 02.05.2026 \| KMK Steuerberatungsges. mbH, Berlin (Steiglitz)_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</w:tblGrid>
      <w:tr>
        <w:tc>
          <w:tcPr>
            <w:tcW w:type="dxa" w:w="648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b/>
                <w:sz w:val="20"/>
              </w:rPr>
              <w:t>KW 18&lt;br&gt;(02.05.2026)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b/>
                <w:sz w:val="20"/>
              </w:rPr>
              <w:t>KW 19&lt;br&gt;(09.05.2026)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b/>
                <w:sz w:val="20"/>
              </w:rPr>
              <w:t>KW 20&lt;br&gt;(16.05.2026)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b/>
                <w:sz w:val="20"/>
              </w:rPr>
              <w:t>KW 21&lt;br&gt;(23.05.2026)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b/>
                <w:sz w:val="20"/>
              </w:rPr>
              <w:t>KW 22&lt;br&gt;(30.05.2026)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b/>
                <w:sz w:val="20"/>
              </w:rPr>
              <w:t>KW 23&lt;br&gt;(06.06.2026)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b/>
                <w:sz w:val="20"/>
              </w:rPr>
              <w:t>KW 24&lt;br&gt;(13.06.2026)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b/>
                <w:sz w:val="20"/>
              </w:rPr>
              <w:t>KW 25&lt;br&gt;(20.06.2026)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b/>
                <w:sz w:val="20"/>
              </w:rPr>
              <w:t>KW 26&lt;br&gt;(27.06.2026)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b/>
                <w:sz w:val="20"/>
              </w:rPr>
              <w:t>KW 27&lt;br&gt;(04.07.2026)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b/>
                <w:sz w:val="20"/>
              </w:rPr>
              <w:t>KW 28&lt;br&gt;(11.07.2026)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b/>
                <w:sz w:val="20"/>
              </w:rPr>
              <w:t>KW 29&lt;br&gt;(18.07.2026)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b/>
                <w:sz w:val="20"/>
              </w:rPr>
              <w:t>KW 30&lt;br&gt;(25.07.2026)</w:t>
            </w:r>
          </w:p>
        </w:tc>
      </w:tr>
      <w:tr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EINZAHLUNGEN</w:t>
            </w:r>
          </w:p>
        </w:tc>
        <w:tc>
          <w:tcPr>
            <w:tcW w:type="dxa" w:w="648"/>
          </w:tcPr>
          <w:p/>
        </w:tc>
        <w:tc>
          <w:tcPr>
            <w:tcW w:type="dxa" w:w="648"/>
          </w:tcPr>
          <w:p/>
        </w:tc>
        <w:tc>
          <w:tcPr>
            <w:tcW w:type="dxa" w:w="648"/>
          </w:tcPr>
          <w:p/>
        </w:tc>
        <w:tc>
          <w:tcPr>
            <w:tcW w:type="dxa" w:w="648"/>
          </w:tcPr>
          <w:p/>
        </w:tc>
        <w:tc>
          <w:tcPr>
            <w:tcW w:type="dxa" w:w="648"/>
          </w:tcPr>
          <w:p/>
        </w:tc>
        <w:tc>
          <w:tcPr>
            <w:tcW w:type="dxa" w:w="648"/>
          </w:tcPr>
          <w:p/>
        </w:tc>
        <w:tc>
          <w:tcPr>
            <w:tcW w:type="dxa" w:w="648"/>
          </w:tcPr>
          <w:p/>
        </w:tc>
        <w:tc>
          <w:tcPr>
            <w:tcW w:type="dxa" w:w="648"/>
          </w:tcPr>
          <w:p/>
        </w:tc>
        <w:tc>
          <w:tcPr>
            <w:tcW w:type="dxa" w:w="648"/>
          </w:tcPr>
          <w:p/>
        </w:tc>
        <w:tc>
          <w:tcPr>
            <w:tcW w:type="dxa" w:w="648"/>
          </w:tcPr>
          <w:p/>
        </w:tc>
        <w:tc>
          <w:tcPr>
            <w:tcW w:type="dxa" w:w="648"/>
          </w:tcPr>
          <w:p/>
        </w:tc>
        <w:tc>
          <w:tcPr>
            <w:tcW w:type="dxa" w:w="648"/>
          </w:tcPr>
          <w:p/>
        </w:tc>
        <w:tc>
          <w:tcPr>
            <w:tcW w:type="dxa" w:w="648"/>
          </w:tcPr>
          <w:p/>
        </w:tc>
      </w:tr>
      <w:tr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Abo-Umsatz (SaaS-Subscriptions anteilig)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46.850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46.850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46.850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46.850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46.850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52.000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52.000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52.000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52.000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58.000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58.000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58.000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58.000</w:t>
            </w:r>
          </w:p>
        </w:tc>
      </w:tr>
      <w:tr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davon: Deloitte Legal-Suite (250 User, 4.900 EUR/Monat)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1.225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1.225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1.225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1.225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1.225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1.225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1.225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1.225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1.225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1.225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1.225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1.225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1.225</w:t>
            </w:r>
          </w:p>
        </w:tc>
      </w:tr>
      <w:tr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davon: Noerr LLP (180 User, 3.600 EUR/Monat)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900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900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900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900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900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900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900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900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900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900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900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900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900</w:t>
            </w:r>
          </w:p>
        </w:tc>
      </w:tr>
      <w:tr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davon: Sonstige Abo-Kunden (~210 Verträge)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44.725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44.725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44.725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44.725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44.725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49.875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49.875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49.875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49.875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55.875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55.875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55.875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55.875</w:t>
            </w:r>
          </w:p>
        </w:tc>
      </w:tr>
      <w:tr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Großkunden-Sammelzahlungen / Jahresvoraus</w:t>
            </w:r>
          </w:p>
        </w:tc>
        <w:tc>
          <w:tcPr>
            <w:tcW w:type="dxa" w:w="648"/>
          </w:tcPr>
          <w:p/>
        </w:tc>
        <w:tc>
          <w:tcPr>
            <w:tcW w:type="dxa" w:w="648"/>
          </w:tcPr>
          <w:p/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142.000</w:t>
            </w:r>
          </w:p>
        </w:tc>
        <w:tc>
          <w:tcPr>
            <w:tcW w:type="dxa" w:w="648"/>
          </w:tcPr>
          <w:p/>
        </w:tc>
        <w:tc>
          <w:tcPr>
            <w:tcW w:type="dxa" w:w="648"/>
          </w:tcPr>
          <w:p/>
        </w:tc>
        <w:tc>
          <w:tcPr>
            <w:tcW w:type="dxa" w:w="648"/>
          </w:tcPr>
          <w:p/>
        </w:tc>
        <w:tc>
          <w:tcPr>
            <w:tcW w:type="dxa" w:w="648"/>
          </w:tcPr>
          <w:p/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48.000</w:t>
            </w:r>
          </w:p>
        </w:tc>
        <w:tc>
          <w:tcPr>
            <w:tcW w:type="dxa" w:w="648"/>
          </w:tcPr>
          <w:p/>
        </w:tc>
        <w:tc>
          <w:tcPr>
            <w:tcW w:type="dxa" w:w="648"/>
          </w:tcPr>
          <w:p/>
        </w:tc>
        <w:tc>
          <w:tcPr>
            <w:tcW w:type="dxa" w:w="648"/>
          </w:tcPr>
          <w:p/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36.000</w:t>
            </w:r>
          </w:p>
        </w:tc>
        <w:tc>
          <w:tcPr>
            <w:tcW w:type="dxa" w:w="648"/>
          </w:tcPr>
          <w:p/>
        </w:tc>
      </w:tr>
      <w:tr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Summe Einzahlungen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46.850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46.850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188.850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46.850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46.850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52.000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52.000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100.000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52.000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58.000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58.000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94.000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58.000</w:t>
            </w:r>
          </w:p>
        </w:tc>
      </w:tr>
      <w:tr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AUSZAHLUNGEN</w:t>
            </w:r>
          </w:p>
        </w:tc>
        <w:tc>
          <w:tcPr>
            <w:tcW w:type="dxa" w:w="648"/>
          </w:tcPr>
          <w:p/>
        </w:tc>
        <w:tc>
          <w:tcPr>
            <w:tcW w:type="dxa" w:w="648"/>
          </w:tcPr>
          <w:p/>
        </w:tc>
        <w:tc>
          <w:tcPr>
            <w:tcW w:type="dxa" w:w="648"/>
          </w:tcPr>
          <w:p/>
        </w:tc>
        <w:tc>
          <w:tcPr>
            <w:tcW w:type="dxa" w:w="648"/>
          </w:tcPr>
          <w:p/>
        </w:tc>
        <w:tc>
          <w:tcPr>
            <w:tcW w:type="dxa" w:w="648"/>
          </w:tcPr>
          <w:p/>
        </w:tc>
        <w:tc>
          <w:tcPr>
            <w:tcW w:type="dxa" w:w="648"/>
          </w:tcPr>
          <w:p/>
        </w:tc>
        <w:tc>
          <w:tcPr>
            <w:tcW w:type="dxa" w:w="648"/>
          </w:tcPr>
          <w:p/>
        </w:tc>
        <w:tc>
          <w:tcPr>
            <w:tcW w:type="dxa" w:w="648"/>
          </w:tcPr>
          <w:p/>
        </w:tc>
        <w:tc>
          <w:tcPr>
            <w:tcW w:type="dxa" w:w="648"/>
          </w:tcPr>
          <w:p/>
        </w:tc>
        <w:tc>
          <w:tcPr>
            <w:tcW w:type="dxa" w:w="648"/>
          </w:tcPr>
          <w:p/>
        </w:tc>
        <w:tc>
          <w:tcPr>
            <w:tcW w:type="dxa" w:w="648"/>
          </w:tcPr>
          <w:p/>
        </w:tc>
        <w:tc>
          <w:tcPr>
            <w:tcW w:type="dxa" w:w="648"/>
          </w:tcPr>
          <w:p/>
        </w:tc>
        <w:tc>
          <w:tcPr>
            <w:tcW w:type="dxa" w:w="648"/>
          </w:tcPr>
          <w:p/>
        </w:tc>
      </w:tr>
      <w:tr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Personalkosten (Löhne/Gehälter, Netto-Auszahlung)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61.750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61.750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61.750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61.750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61.750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61.750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61.750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61.750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61.750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61.750</w:t>
            </w:r>
          </w:p>
        </w:tc>
      </w:tr>
      <w:tr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LLM-Tokenkosten (OpenAI, Anthropic, Mistral)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9.500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9.500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9.500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9.500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9.500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9.500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9.500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9.500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9.500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9.500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9.500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9.500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9.500</w:t>
            </w:r>
          </w:p>
        </w:tc>
      </w:tr>
      <w:tr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AWS Cloud eu-central-1 (monatl. Abrechnung)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5.625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5.625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5.625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5.625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5.625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5.625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5.625</w:t>
            </w:r>
          </w:p>
        </w:tc>
      </w:tr>
      <w:tr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Gewerbemiete Heidestraße 78 + NK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18.700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18.700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18.700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SV-Sammelfälligkeit (AG-Anteil, 15. des Monats)</w:t>
            </w:r>
          </w:p>
        </w:tc>
        <w:tc>
          <w:tcPr>
            <w:tcW w:type="dxa" w:w="648"/>
          </w:tcPr>
          <w:p/>
        </w:tc>
        <w:tc>
          <w:tcPr>
            <w:tcW w:type="dxa" w:w="648"/>
          </w:tcPr>
          <w:p/>
        </w:tc>
        <w:tc>
          <w:tcPr>
            <w:tcW w:type="dxa" w:w="648"/>
          </w:tcPr>
          <w:p/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41.000</w:t>
            </w:r>
          </w:p>
        </w:tc>
        <w:tc>
          <w:tcPr>
            <w:tcW w:type="dxa" w:w="648"/>
          </w:tcPr>
          <w:p/>
        </w:tc>
        <w:tc>
          <w:tcPr>
            <w:tcW w:type="dxa" w:w="648"/>
          </w:tcPr>
          <w:p/>
        </w:tc>
        <w:tc>
          <w:tcPr>
            <w:tcW w:type="dxa" w:w="648"/>
          </w:tcPr>
          <w:p/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42.000</w:t>
            </w:r>
          </w:p>
        </w:tc>
        <w:tc>
          <w:tcPr>
            <w:tcW w:type="dxa" w:w="648"/>
          </w:tcPr>
          <w:p/>
        </w:tc>
        <w:tc>
          <w:tcPr>
            <w:tcW w:type="dxa" w:w="648"/>
          </w:tcPr>
          <w:p/>
        </w:tc>
        <w:tc>
          <w:tcPr>
            <w:tcW w:type="dxa" w:w="648"/>
          </w:tcPr>
          <w:p/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41.000</w:t>
            </w:r>
          </w:p>
        </w:tc>
        <w:tc>
          <w:tcPr>
            <w:tcW w:type="dxa" w:w="648"/>
          </w:tcPr>
          <w:p/>
        </w:tc>
      </w:tr>
      <w:tr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Sonstige laufende Ausgaben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8.200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3.100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4.200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3.100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8.800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3.100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3.100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3.100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8.200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3.100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3.100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3.100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4.200</w:t>
            </w:r>
          </w:p>
        </w:tc>
      </w:tr>
      <w:tr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Summe Auszahlungen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42.025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74.350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81.075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115.350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85.675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31.300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79.975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116.350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85.075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31.300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79.975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115.350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81.075</w:t>
            </w:r>
          </w:p>
        </w:tc>
      </w:tr>
      <w:tr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LIQUIDITÄTSNACHWEIS § 17 InsO</w:t>
            </w:r>
          </w:p>
        </w:tc>
        <w:tc>
          <w:tcPr>
            <w:tcW w:type="dxa" w:w="648"/>
          </w:tcPr>
          <w:p/>
        </w:tc>
        <w:tc>
          <w:tcPr>
            <w:tcW w:type="dxa" w:w="648"/>
          </w:tcPr>
          <w:p/>
        </w:tc>
        <w:tc>
          <w:tcPr>
            <w:tcW w:type="dxa" w:w="648"/>
          </w:tcPr>
          <w:p/>
        </w:tc>
        <w:tc>
          <w:tcPr>
            <w:tcW w:type="dxa" w:w="648"/>
          </w:tcPr>
          <w:p/>
        </w:tc>
        <w:tc>
          <w:tcPr>
            <w:tcW w:type="dxa" w:w="648"/>
          </w:tcPr>
          <w:p/>
        </w:tc>
        <w:tc>
          <w:tcPr>
            <w:tcW w:type="dxa" w:w="648"/>
          </w:tcPr>
          <w:p/>
        </w:tc>
        <w:tc>
          <w:tcPr>
            <w:tcW w:type="dxa" w:w="648"/>
          </w:tcPr>
          <w:p/>
        </w:tc>
        <w:tc>
          <w:tcPr>
            <w:tcW w:type="dxa" w:w="648"/>
          </w:tcPr>
          <w:p/>
        </w:tc>
        <w:tc>
          <w:tcPr>
            <w:tcW w:type="dxa" w:w="648"/>
          </w:tcPr>
          <w:p/>
        </w:tc>
        <w:tc>
          <w:tcPr>
            <w:tcW w:type="dxa" w:w="648"/>
          </w:tcPr>
          <w:p/>
        </w:tc>
        <w:tc>
          <w:tcPr>
            <w:tcW w:type="dxa" w:w="648"/>
          </w:tcPr>
          <w:p/>
        </w:tc>
        <w:tc>
          <w:tcPr>
            <w:tcW w:type="dxa" w:w="648"/>
          </w:tcPr>
          <w:p/>
        </w:tc>
        <w:tc>
          <w:tcPr>
            <w:tcW w:type="dxa" w:w="648"/>
          </w:tcPr>
          <w:p/>
        </w:tc>
      </w:tr>
      <w:tr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Anfangsbestand (Freitag Vorwoche)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1.870.000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1.874.825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1.847.325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1.955.100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1.886.600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1.847.775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1.868.475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1.840.500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1.824.150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1.791.075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1.817.775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1.795.800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1.774.450</w:t>
            </w:r>
          </w:p>
        </w:tc>
      </w:tr>
      <w:tr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Netto-Cashflow der Woche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4.825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-27.500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107.775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-68.500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-38.825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20.700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-27.975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-16.350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-33.075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26.700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-21.975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-21.350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-23.075</w:t>
            </w:r>
          </w:p>
        </w:tc>
      </w:tr>
      <w:tr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Endbestand (Freitag)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1.874.825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1.847.325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1.955.100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1.886.600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1.847.775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1.868.475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1.840.500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1.824.150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1.791.075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1.817.775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1.795.800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1.774.450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1.751.375</w:t>
            </w:r>
          </w:p>
        </w:tc>
      </w:tr>
      <w:tr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Ampel-Status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GRÜN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GRÜN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GRÜN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GRÜN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GRÜN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GRÜN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GRÜN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GRÜN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GRÜN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GRÜN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GRÜN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GRÜN</w:t>
            </w:r>
          </w:p>
        </w:tc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GRÜN</w:t>
            </w:r>
          </w:p>
        </w:tc>
      </w:tr>
      <w:tr>
        <w:tc>
          <w:tcPr>
            <w:tcW w:type="dxa" w:w="648"/>
          </w:tcPr>
          <w:p>
            <w:r>
              <w:rPr>
                <w:rFonts w:ascii="Times New Roman" w:hAnsi="Times New Roman"/>
                <w:sz w:val="20"/>
              </w:rPr>
              <w:t>Hinweis: Diese 13-Wochen-Liquiditätsplanung dient der Überprüfung der Zahlungsfähigkeit nach § 17 InsO. Ampel GRÜN = ausreichend liquide (&gt;500.000 EUR); GELB = Beobachtungsstufe (200–500 T EUR); ROT = kritisch (&lt;200.000 EUR) — Handlungspflicht der GF.</w:t>
            </w:r>
          </w:p>
        </w:tc>
        <w:tc>
          <w:tcPr>
            <w:tcW w:type="dxa" w:w="648"/>
          </w:tcPr>
          <w:p/>
        </w:tc>
        <w:tc>
          <w:tcPr>
            <w:tcW w:type="dxa" w:w="648"/>
          </w:tcPr>
          <w:p/>
        </w:tc>
        <w:tc>
          <w:tcPr>
            <w:tcW w:type="dxa" w:w="648"/>
          </w:tcPr>
          <w:p/>
        </w:tc>
        <w:tc>
          <w:tcPr>
            <w:tcW w:type="dxa" w:w="648"/>
          </w:tcPr>
          <w:p/>
        </w:tc>
        <w:tc>
          <w:tcPr>
            <w:tcW w:type="dxa" w:w="648"/>
          </w:tcPr>
          <w:p/>
        </w:tc>
        <w:tc>
          <w:tcPr>
            <w:tcW w:type="dxa" w:w="648"/>
          </w:tcPr>
          <w:p/>
        </w:tc>
        <w:tc>
          <w:tcPr>
            <w:tcW w:type="dxa" w:w="648"/>
          </w:tcPr>
          <w:p/>
        </w:tc>
        <w:tc>
          <w:tcPr>
            <w:tcW w:type="dxa" w:w="648"/>
          </w:tcPr>
          <w:p/>
        </w:tc>
        <w:tc>
          <w:tcPr>
            <w:tcW w:type="dxa" w:w="648"/>
          </w:tcPr>
          <w:p/>
        </w:tc>
        <w:tc>
          <w:tcPr>
            <w:tcW w:type="dxa" w:w="648"/>
          </w:tcPr>
          <w:p/>
        </w:tc>
        <w:tc>
          <w:tcPr>
            <w:tcW w:type="dxa" w:w="648"/>
          </w:tcPr>
          <w:p/>
        </w:tc>
        <w:tc>
          <w:tcPr>
            <w:tcW w:type="dxa" w:w="648"/>
          </w:tcPr>
          <w:p/>
        </w:tc>
        <w:tc>
          <w:tcPr>
            <w:tcW w:type="dxa" w:w="648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Paragrafix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7B2D3B"/>
        <w:sz w:val="24"/>
      </w:rPr>
      <w:t>Paragrafix GmbH</w:t>
    </w:r>
  </w:p>
  <w:p>
    <w:pPr>
      <w:jc w:val="left"/>
      <w:pBdr>
        <w:bottom w:val="single" w:sz="6" w:space="2" w:color="7B2D3B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