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A13544"/>
          <w:sz w:val="26"/>
          <w:szCs w:val="26"/>
        </w:rPr>
        <w:t xml:space="preserve">INTERNES MEMORANDUM — VERTRAULICH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474D"/>
          <w:sz w:val="32"/>
          <w:szCs w:val="32"/>
        </w:rPr>
        <w:t xml:space="preserve">SANIERUNGSBAUSTEINE Q2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Paragrafix GmbH — Vorbereitung Fortbestehensprognose § 19 Abs. 2 InsO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00"/>
      </w:tblGrid>
      <w:tr>
        <w:tc>
          <w:tcPr>
            <w:tcW w:type="dxa" w:w="2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 / To:</w:t>
            </w:r>
          </w:p>
        </w:tc>
        <w:tc>
          <w:tcPr>
            <w:tcW w:type="dxa" w:w="53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Gesellschafter-Ausschuss (Earlybird, Cherry, Business Angels) | Advisory Board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Von / From:</w:t>
            </w:r>
          </w:p>
        </w:tc>
        <w:tc>
          <w:tcPr>
            <w:tcW w:type="dxa" w:w="5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Dr. Carolin Vogt-Hesselbach, Geschäftsführerin | Yannik Brodersen, Geschäftsführer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Datum / Date:</w:t>
            </w:r>
          </w:p>
        </w:tc>
        <w:tc>
          <w:tcPr>
            <w:tcW w:type="dxa" w:w="53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2. Mai 2026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Betreff / Re:</w:t>
            </w:r>
          </w:p>
        </w:tc>
        <w:tc>
          <w:tcPr>
            <w:tcW w:type="dxa" w:w="5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Liquiditätsmanagement Q2/Q3 2026 — Sanierungsbausteine und Handlungsoptionen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Klassifizierung:</w:t>
            </w:r>
          </w:p>
        </w:tc>
        <w:tc>
          <w:tcPr>
            <w:tcW w:type="dxa" w:w="53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STRENG VERTRAULICH — Nur für berechtigte Empfänger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Anlagen:</w:t>
            </w:r>
          </w:p>
        </w:tc>
        <w:tc>
          <w:tcPr>
            <w:tcW w:type="dxa" w:w="5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01_Bilanz (31.12.2025), 04_Cashflow-Modell (Mai 2026–Apr 2027), 12_Liquiditätsplanung (KW18–30), 07_StaRUG-Hinweisschreiben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B474D"/>
        </w:rPr>
        <w:t xml:space="preserve">1. AUSGANGSLAGE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Auf Basis der aktuellen Buchführungsunterlagen (BWA April 2026, Kontoauszüge) und des vorliegenden StaRUG-Hinweisschreibens unserer Steuerberaterin Frau Steiglitz (KMK Berlin, 06.05.2026) dokumentieren wir hiermit die Liquiditätslage und die geplanten Sanierungsmaßnahmen.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500"/>
      </w:tblGrid>
      <w:tr>
        <w:tc>
          <w:tcPr>
            <w:tcW w:type="dxa" w:w="2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2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Ist-Wert 30.04.2026</w:t>
            </w:r>
          </w:p>
        </w:tc>
        <w:tc>
          <w:tcPr>
            <w:tcW w:type="dxa" w:w="25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Einschätzung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Kassenbestand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1.870.000,00 EUR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Positiv — ausreichend für ca. 4,9 Monate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MRR April 2026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187.400,00 EUR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Positiv — MoM +12 %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ARR April 2026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2.249.000,00 EUR (hochgerechnet)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Noch nicht Milestone-2-Level (2,5 Mio.)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Burn-Rate Q1/Q2 2026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ca. 380.000,00 EUR / Monat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Hoch — Optimierungsmaßnahmen eingeleitet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3-Wochen-Test § 17 InsO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POSITIV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Zahlungsfähigkeit aktuell gegeben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Cash-Runway ohne Tranche 2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ca. August/September 2026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KRITISCH — Maßnahmen erforderlich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Tranche 2 Status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Milestones noch nicht erfüllt (ARR ~2,25 Mio.)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Milestone-Lücke ca. 250.000 EUR ARR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B474D"/>
        </w:rPr>
        <w:t xml:space="preserve">2. SANIERUNGSBAUSTEINE IM EINZELNEN</w:t>
      </w:r>
    </w:p>
    <w:p>
      <w:pPr>
        <w:pStyle w:val="Heading3"/>
      </w:pPr>
      <w:r>
        <w:rPr>
          <w:b/>
          <w:bCs/>
          <w:color w:val="1B474D"/>
        </w:rPr>
        <w:t xml:space="preserve">2.1  Wandeldarlehen Earlybird — Brückenfinanzierung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474D"/>
          <w:sz w:val="20"/>
          <w:szCs w:val="20"/>
        </w:rPr>
        <w:t xml:space="preserve">Status: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 In Verhandlung — Telko-Ergebnis Frederik Schöning (Earlybird) vom 14.05.2026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800"/>
      </w:tblGrid>
      <w:tr>
        <w:tc>
          <w:tcPr>
            <w:tcW w:type="dxa" w:w="2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Geplanter Wert</w:t>
            </w:r>
          </w:p>
        </w:tc>
        <w:tc>
          <w:tcPr>
            <w:tcW w:type="dxa" w:w="2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Darlehensbetrag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1.500.000,00 EUR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Als Alternative zu voller Tranche 2 oder Brücke bis Milestone-Nachweis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Darlehensgeber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Earlybird Venture Capital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Ggf. auch Investorenkonsortium (Earlybird + Cherry)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Zinssatz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6 % p.a.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Marktzinsniveau für VC-Wandeldarlehen (basierend auf Basel-III-Konventionen)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Laufzeit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max. 18 Monate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Endfälligkeit 30. November 2027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Wandlungsrecht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In neue GmbH-Anteile bei Folge-Finanzierungsrunde (Series B)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Wandlungspreis: Serie-B Pre-Money Valuation mit 20 % Discount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Wandlungsauslöser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Series B Closing, Exit-Event oder Ablauf Laufzeit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Rückzahlung bei Fälligkeit als Alternative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Rechtsdokumentation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Standardisierter german VC Wandeldarlehensvertrag (BVKAP-Muster)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Notarielle Beurkundung nicht erforderlich (GmbH &lt; 25 T EUR Betrag)</w:t>
            </w:r>
          </w:p>
        </w:tc>
      </w:tr>
      <w:tr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Zeitplan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Unterschriftsreif bis 15. Juni 2026</w:t>
            </w:r>
          </w:p>
        </w:tc>
        <w:tc>
          <w:tcPr>
            <w:tcW w:type="dxa" w:w="2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Term Sheet Wandeldarlehen bis 20.05.2026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1B474D"/>
          <w:sz w:val="20"/>
          <w:szCs w:val="20"/>
        </w:rPr>
        <w:t xml:space="preserve">Auswirkung auf Fortbestehensprognose:</w:t>
      </w:r>
    </w:p>
    <w:p>
      <w:pPr>
        <w:spacing w:after="80" w:before="4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Bei Unterzeichnung des Wandeldarlehens mit verbindlichem Auszahlungsdatum wäre die Fortbestehensprognose bis mindestens Ende Q1 2027 positiv (1.870.000 + 1.500.000 = 3.370.000 EUR = ca. 8,9 Monate Cash-Runway). Eine positive Fortbestehensprognose § 19 Abs. 2 InsO wäre in diesem Fall mit hoher Wahrscheinlichkeit begründbar.</w:t>
      </w:r>
    </w:p>
    <w:p>
      <w:pPr>
        <w:pStyle w:val="Heading3"/>
      </w:pPr>
      <w:r>
        <w:rPr>
          <w:b/>
          <w:bCs/>
          <w:color w:val="1B474D"/>
        </w:rPr>
        <w:t xml:space="preserve">2.2  Personalplan-Anpassung (Senior-Sales-Hire-Stopp)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00"/>
      </w:tblGrid>
      <w:tr>
        <w:tc>
          <w:tcPr>
            <w:tcW w:type="dxa" w:w="3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25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Einsparung p.a.</w:t>
            </w:r>
          </w:p>
        </w:tc>
        <w:tc>
          <w:tcPr>
            <w:tcW w:type="dxa" w:w="2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Umsetzungszeitraum</w:t>
            </w:r>
          </w:p>
        </w:tc>
        <w:tc>
          <w:tcPr>
            <w:tcW w:type="dxa" w:w="1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Kein Hire Senior Sales Executive (war für Juni 2026 geplant)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+130.000,00 EUR Brutto + 22 % AG-Anteil = 158.600,00 EUR p.a.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Sofortig (Freeze ab 05.05.2026)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Wachstumsverlangsamung Sales möglich</w:t>
            </w:r>
          </w:p>
        </w:tc>
      </w:tr>
      <w:tr>
        <w:tc>
          <w:tcPr>
            <w:tcW w:type="dxa" w:w="3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Kein Hire Junior CS Manager (war für August 2026 geplant)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+70.000,00 EUR Brutto + 22 % = 85.400,00 EUR p.a.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Sofortig</w:t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Höhere CS-Last auf bestehendes Team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Verschiebung Werkstudenten-Headcount (1 FTE → 0,5)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+7.200,00 EUR p.a.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Ab Juni 2026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Gering</w:t>
            </w:r>
          </w:p>
        </w:tc>
      </w:tr>
      <w:tr>
        <w:tc>
          <w:tcPr>
            <w:tcW w:type="dxa" w:w="3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Verzicht auf externe Konferenzauftritte H2 2026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+12.000,00 EUR (Marketing)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Ab sofort</w:t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Sichtbarkeitsreduktion minimal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GESAMT KOSTENEINSPARUNG p.a.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ca. +263.200,00 EUR / ca. 21.933,00 EUR/Monat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</w:pPr>
      <w:r>
        <w:rPr>
          <w:b/>
          <w:bCs/>
          <w:color w:val="1B474D"/>
        </w:rPr>
        <w:t xml:space="preserve">2.3  Forderungsmanagement — Jahresvoraus-Zahlungen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474D"/>
          <w:sz w:val="20"/>
          <w:szCs w:val="20"/>
        </w:rPr>
        <w:t xml:space="preserve">Status: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 In Vorbereitung — Ansprache von 5 Großkunden mit Jahresvolumen &gt; 36.000 EUR / Jahr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800"/>
        <w:gridCol w:w="2200"/>
        <w:gridCol w:w="2000"/>
      </w:tblGrid>
      <w:tr>
        <w:tc>
          <w:tcPr>
            <w:tcW w:type="dxa" w:w="27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Großkunde (anonymisiert)</w:t>
            </w:r>
          </w:p>
        </w:tc>
        <w:tc>
          <w:tcPr>
            <w:tcW w:type="dxa" w:w="16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MRR bisher</w:t>
            </w:r>
          </w:p>
        </w:tc>
        <w:tc>
          <w:tcPr>
            <w:tcW w:type="dxa" w:w="18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Jahresvolumen</w:t>
            </w:r>
          </w:p>
        </w:tc>
        <w:tc>
          <w:tcPr>
            <w:tcW w:type="dxa" w:w="22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Ziel: Voraus-Zahlung</w:t>
            </w:r>
          </w:p>
        </w:tc>
        <w:tc>
          <w:tcPr>
            <w:tcW w:type="dxa" w:w="2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Rabatt-Angebot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GK-001 (Steuerberatungs-Verbund, 80 User)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3.600 EUR/Mo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43.200 EUR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Jahresvoraus bis 15.06.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5 % (= 2.160 EUR Rabatt)</w:t>
            </w:r>
          </w:p>
        </w:tc>
      </w:tr>
      <w:tr>
        <w:tc>
          <w:tcPr>
            <w:tcW w:type="dxa" w:w="2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GK-002 (Wirtschaftsprüfungsges., 150 User)</w:t>
            </w:r>
          </w:p>
        </w:tc>
        <w:tc>
          <w:tcPr>
            <w:tcW w:type="dxa" w:w="1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6.800 EUR/Mo</w:t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81.600 EUR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Jahresvoraus bis 30.06.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5 % (= 4.080 EUR Rabatt)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GK-003 (Großkanzlei, 220 User)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9.200 EUR/Mo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110.400 EUR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Jahresvoraus bis 30.06.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7 % (= 7.728 EUR Rabatt)</w:t>
            </w:r>
          </w:p>
        </w:tc>
      </w:tr>
      <w:tr>
        <w:tc>
          <w:tcPr>
            <w:tcW w:type="dxa" w:w="2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GK-004 (Kanzlei-Netzwerk, 120 User)</w:t>
            </w:r>
          </w:p>
        </w:tc>
        <w:tc>
          <w:tcPr>
            <w:tcW w:type="dxa" w:w="1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5.100 EUR/Mo</w:t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61.200 EUR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Jahresvoraus bis 15.07.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5 % (= 3.060 EUR Rabatt)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GK-005 (LegalTech-Berater, 45 User)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1.900 EUR/Mo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22.800 EUR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Jahresvoraus bis 30.06.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0 % (loyal, kein Rabatt)</w:t>
            </w:r>
          </w:p>
        </w:tc>
      </w:tr>
      <w:tr>
        <w:tc>
          <w:tcPr>
            <w:tcW w:type="dxa" w:w="27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POTENZIAL GESAMT</w:t>
            </w:r>
          </w:p>
        </w:tc>
        <w:tc>
          <w:tcPr>
            <w:tcW w:type="dxa" w:w="16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319.200 EUR</w:t>
            </w:r>
          </w:p>
        </w:tc>
        <w:tc>
          <w:tcPr>
            <w:tcW w:type="dxa" w:w="22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Max. 319.200 EUR Liquiditätszufluss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Max. 17.028 EUR Rabatt-Kosten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B474D"/>
        </w:rPr>
        <w:t xml:space="preserve">3. GESAMTBEWERTUNG UND FORTBESTEHENSPROGNOSE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300"/>
      </w:tblGrid>
      <w:tr>
        <w:tc>
          <w:tcPr>
            <w:tcW w:type="dxa" w:w="3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25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Cash-Position August 2026</w:t>
            </w:r>
          </w:p>
        </w:tc>
        <w:tc>
          <w:tcPr>
            <w:tcW w:type="dxa" w:w="20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Cash-Runway</w:t>
            </w:r>
          </w:p>
        </w:tc>
        <w:tc>
          <w:tcPr>
            <w:tcW w:type="dxa" w:w="2300"/>
            <w:shd w:fill="1B474D" w:color="1B474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Fortbestehensprognose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Base Case (Tranche 2 vollständig August 2026)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~4.600.000 EUR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12+ Monate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POSITIV — § 19 InsO erfüllt</w:t>
            </w:r>
          </w:p>
        </w:tc>
      </w:tr>
      <w:tr>
        <w:tc>
          <w:tcPr>
            <w:tcW w:type="dxa" w:w="3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Mid Case (Wandeldarlehen 1,5 Mio + Kostensenkung)</w:t>
            </w:r>
          </w:p>
        </w:tc>
        <w:tc>
          <w:tcPr>
            <w:tcW w:type="dxa" w:w="25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~3.100.000 EUR</w:t>
            </w:r>
          </w:p>
        </w:tc>
        <w:tc>
          <w:tcPr>
            <w:tcW w:type="dxa" w:w="20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8-10 Monate</w:t>
            </w:r>
          </w:p>
        </w:tc>
        <w:tc>
          <w:tcPr>
            <w:tcW w:type="dxa" w:w="2300"/>
            <w:shd w:fill="F9F8F5" w:color="F9F8F5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POSITIV — grenzwertig, Dokumentation erforderlich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Stress Case (Tranche 2 verzögert, kein WD)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~240.000 EUR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&lt; 1 Monat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8"/>
                <w:szCs w:val="18"/>
              </w:rPr>
              <w:t xml:space="preserve">NEGATIV — Insolvenzantragspflicht § 15a InsO prüfen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B474D"/>
          <w:sz w:val="22"/>
          <w:szCs w:val="22"/>
        </w:rPr>
        <w:t xml:space="preserve">Handlungsempfehlung der Geschäftsführung: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1.  Abschluss Term Sheet Wandeldarlehen bis 20.05.2026 (Earlybird).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2.  Ansprache aller 5 Großkunden Jahresvoraus-Zahlung bis 10.05.2026.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3.  Formale Fortbestehensprognose § 19 InsO bis 20.05.2026 durch Steuerberaterin KMK.</w:t>
      </w:r>
    </w:p>
    <w:p>
      <w:pPr>
        <w:spacing w:after="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4.  Freeze aller nicht-kritischen Neueinstellungen bis Tranche-2-Abruf.</w:t>
      </w:r>
    </w:p>
    <w:p>
      <w:pPr>
        <w:spacing w:after="160" w:before="6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5.  Monatliches Reporting an Gesellschafter-Ausschuss bis Liquiditätssituation geklärt.</w:t>
      </w:r>
    </w:p>
    <w:p>
      <w:pPr>
        <w:spacing w:after="160"/>
      </w:pPr>
      <w:r>
        <w:rPr>
          <w:rFonts w:ascii="Calibri" w:cs="Calibri" w:eastAsia="Calibri" w:hAnsi="Calibri"/>
          <w:color w:val="1B474D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Berlin, den 2. Mai 2026</w:t>
      </w:r>
    </w:p>
    <w:p>
      <w:pPr>
        <w:spacing w:after="40" w:before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___________________________________          ___________________________________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Dr. Carolin Vogt-Hesselbach                    Yannik Brodersen</w:t>
      </w:r>
    </w:p>
    <w:p>
      <w:pPr>
        <w:spacing w:after="80" w:before="20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Geschäftsführerin                              Geschäftsführer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Sanierungsbausteine Memo Q2 2026 — Paragrafix GmbH</dc:title>
  <dc:creator>Perplexity Computer</dc:creator>
  <dc:description>Internes Memo Sanierungsbausteine Q2 2026 — Dr. Vogt-Hesselbach an Aufsichtsrat</dc:description>
  <cp:lastModifiedBy>Un-named</cp:lastModifiedBy>
  <cp:revision>1</cp:revision>
  <dcterms:created xsi:type="dcterms:W3CDTF">2026-05-20T10:05:09.252Z</dcterms:created>
  <dcterms:modified xsi:type="dcterms:W3CDTF">2026-05-20T10:05:09.252Z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