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09 — Volltextanalyse EP 3 218 922 B1 (Vellbruck Energietechnik GmbH)</w:t>
      </w:r>
    </w:p>
    <w:p>
      <w:pPr>
        <w:jc w:val="left"/>
      </w:pPr>
      <w:r>
        <w:t>AZ: SE-2026-FTO-0717 | Bearb.: Dr. Stadter-Birkenhain | Stand: 14.02.2026</w:t>
      </w:r>
    </w:p>
    <w:p/>
    <w:p>
      <w:pPr>
        <w:pStyle w:val="Heading2"/>
      </w:pPr>
      <w:r>
        <w:rPr>
          <w:rFonts w:ascii="Times New Roman" w:hAnsi="Times New Roman"/>
        </w:rPr>
        <w:t>1. Bibliographische 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Dokumentnummer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EP 3 218 922 B1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Titel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Elektrothermisches Heizsystem für Rotorblätter einer Windkraftanlage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Anmelder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Vellbruck Energietechnik GmbH, Ammerländer Heerstr. 114–118, 26129 Oldenburg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Erfinder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Rolf-Dieter Vellbruck, Dipl.-Ing. Karsten Mehrtens, Dr. Britta Schumann-Ostergaard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Priorität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 10 2017 210 413.4, 22.06.2017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Anmeldetag EP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25.05.2018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Veröffentlichung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20.09.2023 (Erteilungsblatt)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Erteilungsdatum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14.03.2023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IPC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F03D 80/40, H05B 3/84, H05B 2203/016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CPC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F03D 80/40, H05B 2203/016, H05B 3/84, Y02E 10/723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Ansprüche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21 (1 unabhängige Vorrichtung, 1 unabhängiges Verfahren, 1 unabhängiges Computerprogramm)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Validierungsstaaten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DE, FR, GB, NL, DK, SE, NO, FI, AT, ES, IT, PL, BE, CZ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Einspruch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Nordex Energy GmbH, 12.01.2024 — zurückgezogen 18.11.2024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Entgegenhaltungen EPO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EP 2 462 344 A1, US 2016/0195073 A1, CN 106 121 921 A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2. Kurzbeschreibung Erfindung (aus Abs. [0001]–[0012])</w:t>
      </w:r>
    </w:p>
    <w:p>
      <w:pPr>
        <w:jc w:val="left"/>
      </w:pPr>
      <w:r>
        <w:t>Die Erfindung betrifft ein elektrothermisches Heizsystem zur Verhinderung und Beseitigung von Eisansatz an Rotorblättern von Windkraftanlagen. Als technische Aufgabe wird in Absatz [0007] angegeben: die Bereitstellung eines Rotorblatt-Heizsystems, das (1) eine differentielle Heizleistung in verschiedenen Blattzonen ermöglicht, (2) eine präzise Eisdetektion ohne Beeinträchtigung der aerodynamischen Oberfläche gewährleistet, und (3) eine wartungsarme, kontaktlose Energieübertragung realisiert.</w:t>
      </w:r>
    </w:p>
    <w:p>
      <w:pPr>
        <w:jc w:val="left"/>
      </w:pPr>
      <w:r>
        <w:t>Als Stand der Technik werden in Abs. [0003]–[0006] folgende Systeme beschrieben und abgegrenzt: metallfolienbasierte Schleifringheizung (EP 2 462 344), thermische Heizung ohne Zonierung (DE 10 2014 223 614 A1), Druckimpulsenteisung (Siemens-Patente).</w:t>
      </w:r>
    </w:p>
    <w:p>
      <w:pPr>
        <w:pStyle w:val="Heading2"/>
      </w:pPr>
      <w:r>
        <w:rPr>
          <w:rFonts w:ascii="Times New Roman" w:hAnsi="Times New Roman"/>
        </w:rPr>
        <w:t>3. Beschreibung der bevorzugten Ausführungsform</w:t>
      </w:r>
    </w:p>
    <w:p>
      <w:pPr>
        <w:jc w:val="left"/>
      </w:pPr>
      <w:r>
        <w:t>Laut Beschreibung (Abs. [0040]–[0085]) umfasst die bevorzugte Ausführungsform:</w:t>
      </w:r>
    </w:p>
    <w:p>
      <w:pPr>
        <w:jc w:val="left"/>
      </w:pPr>
      <w:r>
        <w:rPr>
          <w:b/>
        </w:rPr>
        <w:t>Heizmatten</w:t>
      </w:r>
      <w:r>
        <w:t>: Gewebte Kohlenstofffaser-Matten mit definiertem elektrischen Widerstand, laminiert in die Glasfaser-Verbundstruktur des Rotorblatts. Widerstand je Zone einstellbar durch Vlies-Fasergewicht. Anschluss über integrierte Kupfersammelschienen.</w:t>
      </w:r>
    </w:p>
    <w:p>
      <w:pPr>
        <w:jc w:val="left"/>
      </w:pPr>
      <w:r>
        <w:rPr>
          <w:b/>
        </w:rPr>
        <w:t>Heizzonen</w:t>
      </w:r>
      <w:r>
        <w:t>: Mindestens drei Zonen (Z1: 0–3 m Blattspitze, Z2: 3–8 m, Z3: 8–25 m), jede mit eigenem Leistungsregler. In Abs. [0055] wird explizit ausgeführt, dass auch 4 oder mehr Zonen von der Erfindung umfasst sind.</w:t>
      </w:r>
    </w:p>
    <w:p>
      <w:pPr>
        <w:jc w:val="left"/>
      </w:pPr>
      <w:r>
        <w:rPr>
          <w:b/>
        </w:rPr>
        <w:t>Kapazitive Sensorik</w:t>
      </w:r>
      <w:r>
        <w:t>: Pro Zone min. 2 kapazitive Flächensensoren zur Bestimmung der lokalen dielektrischen Konstante, aus der auf die Eisdicke zurückgerechnet wird (Abs. [0060]–[0068]).</w:t>
      </w:r>
    </w:p>
    <w:p>
      <w:pPr>
        <w:jc w:val="left"/>
      </w:pPr>
      <w:r>
        <w:rPr>
          <w:b/>
        </w:rPr>
        <w:t>Induktive Energieübertragung</w:t>
      </w:r>
      <w:r>
        <w:t>: Primärspule stationär am Gondel-Rotorübergang; Sekundärspule auf Rotornabe. Ausführungsform mit einer Betriebsfrequenz von 20–100 kHz beschrieben. Übertragungsleistung bis 200 kW.</w:t>
      </w:r>
    </w:p>
    <w:p>
      <w:pPr>
        <w:jc w:val="left"/>
      </w:pPr>
      <w:r>
        <w:rPr>
          <w:b/>
        </w:rPr>
        <w:t>Steuereinheit</w:t>
      </w:r>
      <w:r>
        <w:t>: Mikrokontroller-basierter Regler, der Sensorwerte auswertet und Heizzonen-Relais steuert. Abs. [0078] beschreibt optional einen „lernenden Algorithmus" auf Basis historischer Betriebsdaten — Maschinenlernen explizit erwähnt aber als fakultativ (nicht in Anspruch 1 enthalten).</w:t>
      </w:r>
    </w:p>
    <w:p>
      <w:pPr>
        <w:pStyle w:val="Heading2"/>
      </w:pPr>
      <w:r>
        <w:rPr>
          <w:rFonts w:ascii="Times New Roman" w:hAnsi="Times New Roman"/>
        </w:rPr>
        <w:t>4. Anspruchsübersicht (alle 21 Ansprüche)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Typ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Inhalt (Kurzform)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Unabhängig (Vorrichtung)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Gesamtsystem: Heizzonen + Kohlenstoffmaterial + kapazitive Sensorik + kontaktlose Übertragung + Steuereinheit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Abhängig v. 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Mindestens 3 Heizzonen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Abhängig v. 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Heizelement aus Kohlenstofffaservlies oder -gewebe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Abhängig v. 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Kapazitiver Sensor als Flächensensor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Abhängig v. 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Kapazitiver Sensor an Druck- und Saugseite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Abhängig v. 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Energieübertragung induktiv mit Frequenz 20–200 kHz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Abhängig v. 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Energieübertragung induktiv mit Wirkungsgrad &gt; 90 %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Abhängig v. 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Schleifring als Alternative zu induktiver Übertragung (Alternativausf.)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Abhängig v. 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Steuereinheit mit Außentemperaturmessung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Abhängig v. 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Steuereinheit mit Wetterdaten-Anbindung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Abhängig v. 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Vorheizbetrieb bei Prognose-Schwellwert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Abhängig v. 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Alarmfunktion bei Eiswurf-Risiko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Unabhängig (Verfahren)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Verfahren zur Rotorblatt-Beheizung: Eisdetekt. kapazitiv → zonale Aktivierung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Abhängig v. 13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Verfahren mit ML-basierter Prognose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Abhängig v. 13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Verfahren mit Wetterdaten-Integration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Abhängig v. 13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Verfahren mit prädiktivem Vorheizbetrieb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Abhängig v. 13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Verfahren mit zonenindividueller Leistungsregelung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Abhängig v. 13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Verfahren mit Energieoptimierung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19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Abhängig v. 13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Verfahren mit Eiswurf-Warnsystem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Abhängig v. 13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Verfahren mit Selbstdiagnose der Heizelemente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Unabhängig (SW/CRP)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Computerprogrammprodukt zur Durchführung des Verfahrens gem. Anspruch 13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5. Zeichnungen (Figuren 1–8)</w:t>
      </w:r>
    </w:p>
    <w:p>
      <w:pPr>
        <w:pStyle w:val="ListBullet"/>
      </w:pPr>
      <w:r>
        <w:t>Fig. 1: Gesamtansicht Windkraftanlage mit eingezeichnetem Heizsystem</w:t>
      </w:r>
    </w:p>
    <w:p>
      <w:pPr>
        <w:pStyle w:val="ListBullet"/>
      </w:pPr>
      <w:r>
        <w:t>Fig. 2: Rotorblatt-Querschnitt mit integrierten Heizmatten und Sammelschienen</w:t>
      </w:r>
    </w:p>
    <w:p>
      <w:pPr>
        <w:pStyle w:val="ListBullet"/>
      </w:pPr>
      <w:r>
        <w:t>Fig. 3: Schematischer Aufbau Zonensteuerung (3 Zonen)</w:t>
      </w:r>
    </w:p>
    <w:p>
      <w:pPr>
        <w:pStyle w:val="ListBullet"/>
      </w:pPr>
      <w:r>
        <w:t>Fig. 4: Kapazitiver Sensor-Aufbau (Flächensensor)</w:t>
      </w:r>
    </w:p>
    <w:p>
      <w:pPr>
        <w:pStyle w:val="ListBullet"/>
      </w:pPr>
      <w:r>
        <w:t>Fig. 5: Induktiver Übertrager (Primär- und Sekundärspule)</w:t>
      </w:r>
    </w:p>
    <w:p>
      <w:pPr>
        <w:pStyle w:val="ListBullet"/>
      </w:pPr>
      <w:r>
        <w:t>Fig. 6: Steueralgorithmus (Flussdiagramm) mit Eisdetektion und Zonenaktivierung</w:t>
      </w:r>
    </w:p>
    <w:p>
      <w:pPr>
        <w:pStyle w:val="ListBullet"/>
      </w:pPr>
      <w:r>
        <w:t>Fig. 7: Diagramm Eisdicke vs. Kapazitätsmesswert (Kalibrierungskurve)</w:t>
      </w:r>
    </w:p>
    <w:p>
      <w:pPr>
        <w:pStyle w:val="ListBullet"/>
      </w:pPr>
      <w:r>
        <w:t>Fig. 8: Systemarchitektur SCADA-Integration</w:t>
      </w:r>
    </w:p>
    <w:p>
      <w:pPr>
        <w:pStyle w:val="Heading2"/>
      </w:pPr>
      <w:r>
        <w:rPr>
          <w:rFonts w:ascii="Times New Roman" w:hAnsi="Times New Roman"/>
        </w:rPr>
        <w:t>6. Erste Einschätzung Schutzbereich</w:t>
      </w:r>
    </w:p>
    <w:p>
      <w:pPr>
        <w:jc w:val="left"/>
      </w:pPr>
      <w:r>
        <w:t>Der Schutzbereich von Anspruch 1 erstreckt sich nach dem Wortlaut und dem Protokoll zu Art. 69 EPÜ (Schutzumfang) auf alle Vorrichtungen, die die Merkmale (a)–(e) des Anspruchs 1 verwirklichen. Die Beschreibung zeigt, dass der Erfinder eine breite Technologieklasse schützen wollte (Abs. [0004]: „Die Erfindung ist nicht auf die in den Figuren dargestellten Ausführungsformen beschränkt").</w:t>
      </w:r>
    </w:p>
    <w:p>
      <w:pPr>
        <w:jc w:val="left"/>
      </w:pPr>
      <w:r>
        <w:t>Für IceFree v3 gilt vorläufig: Sämtliche 5 Merkmale des unabhängigen Anspruchs 1 erscheinen verwirklicht. → Verletzungsgefahr hoch. Vertiefung in Aktenstücken 10–12.</w:t>
      </w:r>
    </w:p>
    <w:p>
      <w:pPr>
        <w:jc w:val="left"/>
      </w:pPr>
      <w:r>
        <w:t>Quellen: Espacenet — EP 3 218 922 B1 | EPO — Art. 69 EPÜ | dejure.org — § 14 PatG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Vellbruck Energietechnik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1555F"/>
        <w:sz w:val="24"/>
      </w:rPr>
      <w:t>Vellbruck Energietechnik GmbH</w:t>
    </w:r>
  </w:p>
  <w:p>
    <w:pPr>
      <w:jc w:val="left"/>
      <w:pBdr>
        <w:bottom w:val="single" w:sz="6" w:space="2" w:color="11555F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