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Handlungsempfehlungen: Redesign / Lizenz / Nichtigkeitsklage</w:t>
      </w:r>
    </w:p>
    <w:p>
      <w:pPr>
        <w:jc w:val="left"/>
      </w:pPr>
      <w:r>
        <w:t>AZ: SE-2026-FTO-0717 | Bearb.: Dr. Stadter-Birkenhain | Stand: 20.03.2026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Auf Basis der FTO-Analyse (Aktenstücke 09–16) stehen dem Mandanten für den EU-Markt (prioritär DE) drei Handlungspfade zur Verfügung:</w:t>
      </w:r>
    </w:p>
    <w:p>
      <w:pPr>
        <w:pStyle w:val="ListBullet"/>
      </w:pPr>
      <w:r>
        <w:rPr>
          <w:b/>
        </w:rPr>
        <w:t>Pfad A</w:t>
      </w:r>
      <w:r>
        <w:t>: Lizenznahme von Vellbruck Energietechnik GmbH (FRAND)</w:t>
      </w:r>
    </w:p>
    <w:p>
      <w:pPr>
        <w:pStyle w:val="ListBullet"/>
      </w:pPr>
      <w:r>
        <w:rPr>
          <w:b/>
        </w:rPr>
        <w:t>Pfad B</w:t>
      </w:r>
      <w:r>
        <w:t>: Nichtigkeitsklage BPatG gegen EP 3 218 922 B1</w:t>
      </w:r>
    </w:p>
    <w:p>
      <w:pPr>
        <w:pStyle w:val="ListBullet"/>
      </w:pPr>
      <w:r>
        <w:rPr>
          <w:b/>
        </w:rPr>
        <w:t>Pfad C</w:t>
      </w:r>
      <w:r>
        <w:t>: Technisches Redesign (Design-Around)</w:t>
      </w:r>
    </w:p>
    <w:p>
      <w:pPr>
        <w:jc w:val="left"/>
      </w:pPr>
      <w:r>
        <w:t>Diese Pfade sind nicht exklusiv — Kombination A+B oder B+C möglich.</w:t>
      </w:r>
    </w:p>
    <w:p>
      <w:pPr>
        <w:pStyle w:val="Heading2"/>
      </w:pPr>
      <w:r>
        <w:rPr>
          <w:rFonts w:ascii="Times New Roman" w:hAnsi="Times New Roman"/>
        </w:rPr>
        <w:t>2. Pfad A: Lizenznahme FRAND (Vellbruck)</w:t>
      </w:r>
    </w:p>
    <w:p>
      <w:pPr>
        <w:pStyle w:val="Heading3"/>
      </w:pPr>
      <w:r>
        <w:rPr>
          <w:rFonts w:ascii="Times New Roman" w:hAnsi="Times New Roman"/>
        </w:rPr>
        <w:t>2.1 Sachverhalt</w:t>
      </w:r>
    </w:p>
    <w:p>
      <w:pPr>
        <w:jc w:val="left"/>
      </w:pPr>
      <w:r>
        <w:t>Vellbruck Energietechnik hat in einem informellen Gespräch (12.04.2026, vgl. Aktenstück 20) FRAND-Lizenzbereitschaft signalisiert. FRAND = Fair, Reasonable and Non-Discriminatory. Vellbruck ist ein mittelständisches Unternehmen (ca. 80 Mitarbeiter) ohne Vertriebspräsenz auf dem Markt für Windkraft-Rotorblattbeheizung — Vellbruck verfolgt primär eine Lizenzierungsstrategie.</w:t>
      </w:r>
    </w:p>
    <w:p>
      <w:pPr>
        <w:pStyle w:val="Heading3"/>
      </w:pPr>
      <w:r>
        <w:rPr>
          <w:rFonts w:ascii="Times New Roman" w:hAnsi="Times New Roman"/>
        </w:rPr>
        <w:t>2.2 Zu erwartende Lizenzkonditionen</w:t>
      </w:r>
    </w:p>
    <w:p>
      <w:pPr>
        <w:jc w:val="left"/>
      </w:pPr>
      <w:r>
        <w:t>Marktübliche Lizenzsätze für elektrothermische Heizpatentverwertung: 2–5 % Nettoumsatz.</w:t>
      </w:r>
    </w:p>
    <w:p>
      <w:pPr>
        <w:jc w:val="left"/>
      </w:pPr>
      <w:r>
        <w:t>Schätzung für IceFree v3:</w:t>
      </w:r>
    </w:p>
    <w:p>
      <w:pPr>
        <w:pStyle w:val="ListBullet"/>
      </w:pPr>
      <w:r>
        <w:t>Projected EU revenue 2026–2030: ca. EUR 48 Mio.</w:t>
      </w:r>
    </w:p>
    <w:p>
      <w:pPr>
        <w:pStyle w:val="ListBullet"/>
      </w:pPr>
      <w:r>
        <w:t>Lizenzsatz FRAND geschätzt: 3 % (FRAND-Bandbreite 2–4 %)</w:t>
      </w:r>
    </w:p>
    <w:p>
      <w:pPr>
        <w:pStyle w:val="ListBullet"/>
      </w:pPr>
      <w:r>
        <w:t>Jährliche Lizenzgebühr: ca. EUR 480.000 (bei EUR 16 Mio. Umsatz/Jahr EU)</w:t>
      </w:r>
    </w:p>
    <w:p>
      <w:pPr>
        <w:pStyle w:val="ListBullet"/>
      </w:pPr>
      <w:r>
        <w:t>Einmalige Eintrittsgebühr: EUR 200.000–500.000</w:t>
      </w:r>
    </w:p>
    <w:p>
      <w:pPr>
        <w:pStyle w:val="Heading3"/>
      </w:pPr>
      <w:r>
        <w:rPr>
          <w:rFonts w:ascii="Times New Roman" w:hAnsi="Times New Roman"/>
        </w:rPr>
        <w:t>2.3 Bewertung Pfad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Rechtssicherheit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— Lizenz schafft sofortige FTO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— ca. EUR 200.000 upfront + 3 % laufend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NIEDRIG — Abschluss in 2–4 Monaten realistisch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NIEDRIG — verhandelbar; FRAND-Klausel schützt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Markteintrittstermin Q3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ERREICHBAR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Abhängigkeit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Nachteil: Dauerhafte Lizenzgebühr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Empfehlung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Prioritärer Pfad für Q3-2026-Ziel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Pfad B: Nichtigkeitsklage BPatG</w:t>
      </w:r>
    </w:p>
    <w:p>
      <w:pPr>
        <w:pStyle w:val="Heading3"/>
      </w:pPr>
      <w:r>
        <w:rPr>
          <w:rFonts w:ascii="Times New Roman" w:hAnsi="Times New Roman"/>
        </w:rPr>
        <w:t>3.1 Verfahrensweg</w:t>
      </w:r>
    </w:p>
    <w:p>
      <w:pPr>
        <w:jc w:val="left"/>
      </w:pPr>
      <w:r>
        <w:t>Nichtigkeitsklage gem. § 22 PatG beim Bundespatentgericht (BPatG), München. Streitgegenstand: EP 3 218 922 B1 (für DE gültig), Angriff auf Anspruch 1, 13, 21. Alternativ: EPO-Opposition Art. 99 EPÜ (Frist 9 Monate ab Erteilung = 14.03.2023 + 9 Monate = 14.12.2023 — ABGELAUFEN; Einspruchsfrist verpasst).</w:t>
      </w:r>
    </w:p>
    <w:p>
      <w:pPr>
        <w:jc w:val="left"/>
      </w:pPr>
      <w:r>
        <w:t>BPatG-Verfahren: Klagebefugnis nach § 65 PatG jedermann (actio popularis). Klageerhebung möglich, bis Patent ausläuft.</w:t>
      </w:r>
    </w:p>
    <w:p>
      <w:pPr>
        <w:pStyle w:val="Heading3"/>
      </w:pPr>
      <w:r>
        <w:rPr>
          <w:rFonts w:ascii="Times New Roman" w:hAnsi="Times New Roman"/>
        </w:rPr>
        <w:t>3.2 Angriffskonzept</w:t>
      </w:r>
    </w:p>
    <w:p>
      <w:pPr>
        <w:jc w:val="left"/>
      </w:pPr>
      <w:r>
        <w:t>Primärargument: Fehlende erfinderische Tätigkeit (§ 4 PatG, Art. 56 EPÜ). Basis: D3 + D4 + D6 + WO 2010/086406 — Fachmann hätte alle Merkmale kombiniert (PSA-Analyse AS 15). Erfolgsaussicht: 50–60 %.</w:t>
      </w:r>
    </w:p>
    <w:p>
      <w:pPr>
        <w:jc w:val="left"/>
      </w:pPr>
      <w:r>
        <w:t>Sekundärargument: Unzulässige Erweiterung (§ 21 Abs. 1 Nr. 4 PatG) — zu prüfen, ob Anspruch 1 in der erteilten Fassung durch die EP-Erteilungsunterlagen vollständig gestützt wird.</w:t>
      </w:r>
    </w:p>
    <w:p>
      <w:pPr>
        <w:pStyle w:val="Heading3"/>
      </w:pPr>
      <w:r>
        <w:rPr>
          <w:rFonts w:ascii="Times New Roman" w:hAnsi="Times New Roman"/>
        </w:rPr>
        <w:t>3.3 Prozessrisiko</w:t>
      </w:r>
    </w:p>
    <w:p>
      <w:pPr>
        <w:jc w:val="left"/>
      </w:pPr>
      <w:r>
        <w:t>BPatG-Verfahren dauert typisch 2–3 Jahre bis zur ersten Instanz. BGH-Revision weitere 2–3 Jahre. Verletzungsklage von Vellbruck (paralleles Verfahren LG Düsseldorf, Mannheim oder Hamburg) kann trotz laufender Nichtigkeitsklage ergehen — nur einstweilige Verfügung würde BPatG-Urteil abwarten.</w:t>
      </w:r>
    </w:p>
    <w:p>
      <w:pPr>
        <w:pStyle w:val="Heading3"/>
      </w:pPr>
      <w:r>
        <w:rPr>
          <w:rFonts w:ascii="Times New Roman" w:hAnsi="Times New Roman"/>
        </w:rPr>
        <w:t>3.4 Bewertung Pfad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Rechtssicherheit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(wenn erfolgreich) — Patent nichtig ex tunc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— EUR 80.000–120.000 + SV-Kosten EUR 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SEHR HOCH — 4–6 Jahre bis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— 40–50 % Misserfolgsrisiko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Markteintrittstermin Q3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DIREKT erreichbar (kein sofortiges FTO)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Empfehlung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ALS PARALLELPFAD zu Lizenz sinnvoll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Pfad C: Technisches Redesign (Design-Around)</w:t>
      </w:r>
    </w:p>
    <w:p>
      <w:pPr>
        <w:pStyle w:val="Heading3"/>
      </w:pPr>
      <w:r>
        <w:rPr>
          <w:rFonts w:ascii="Times New Roman" w:hAnsi="Times New Roman"/>
        </w:rPr>
        <w:t>4.1 Redesign-Option C1 — Vibrationssensor statt kapazitiv</w:t>
      </w:r>
    </w:p>
    <w:p>
      <w:pPr>
        <w:jc w:val="left"/>
      </w:pPr>
      <w:r>
        <w:t>Technische Änderung: Ersatz kapazitiver Sensoren durch Vibrationssensoren (MEMS). Ziel: Merkmal M4 (kapazitiv) nicht mehr erfüllen.</w:t>
      </w:r>
    </w:p>
    <w:p>
      <w:pPr>
        <w:jc w:val="left"/>
      </w:pPr>
      <w:r>
        <w:t>Bewertung: Äquivalenz-Risiko 40 % (Vibrationssensor erkennt Eisbildung — gleichwirkend?). Technisch mögliche Differenzierung, aber rechtlich unsicher. Kostenimpact: ca. EUR 1,8 Mio. Entwicklung + EUR 180 Mio. Serienumstellung. Nicht empfehlenswert als alleinige Maßnahme.</w:t>
      </w:r>
    </w:p>
    <w:p>
      <w:pPr>
        <w:pStyle w:val="Heading3"/>
      </w:pPr>
      <w:r>
        <w:rPr>
          <w:rFonts w:ascii="Times New Roman" w:hAnsi="Times New Roman"/>
        </w:rPr>
        <w:t>4.2 Redesign-Option C2 — Metallfolie statt CFK</w:t>
      </w:r>
    </w:p>
    <w:p>
      <w:pPr>
        <w:jc w:val="left"/>
      </w:pPr>
      <w:r>
        <w:t>Technische Änderung: Ersatz Kohlefaservlies durch Nickel-Chrom-Metallfolie (NiCr). Ziel: Merkmal M3 (kohlenstoffbasiert) nicht mehr erfüllen.</w:t>
      </w:r>
    </w:p>
    <w:p>
      <w:pPr>
        <w:jc w:val="left"/>
      </w:pPr>
      <w:r>
        <w:t>Bewertung: Formstein-Einwand möglicherweise greifend (NiCr = Stand der Technik vor EP 3 218 922). Technisch rückschrittlich — NiCr hat höhere Masse, schlechtere Langzeitbeständigkeit. Zusätzlich: US 10 612 514 B2 (Vestas Claim 1) verwendet „electrically conductive material" — NiCr auch erfasst. Keine umfassende FTO-Lösung.</w:t>
      </w:r>
    </w:p>
    <w:p>
      <w:pPr>
        <w:pStyle w:val="Heading3"/>
      </w:pPr>
      <w:r>
        <w:rPr>
          <w:rFonts w:ascii="Times New Roman" w:hAnsi="Times New Roman"/>
        </w:rPr>
        <w:t>4.3 Bewertung Pfad C gesamt</w:t>
      </w:r>
    </w:p>
    <w:p>
      <w:pPr>
        <w:jc w:val="left"/>
      </w:pPr>
      <w:r>
        <w:t>Redesign schafft keine vollständige FTO-Lösung für das Hauptproblem EP 3 218 922 B1. Empfehlung: Redesign als Notfall-Fallback, nicht als Primärstrategie.</w:t>
      </w:r>
    </w:p>
    <w:p>
      <w:pPr>
        <w:pStyle w:val="Heading2"/>
      </w:pPr>
      <w:r>
        <w:rPr>
          <w:rFonts w:ascii="Times New Roman" w:hAnsi="Times New Roman"/>
        </w:rPr>
        <w:t>5. Gesamtempfehlung</w:t>
      </w:r>
    </w:p>
    <w:p>
      <w:pPr>
        <w:jc w:val="left"/>
      </w:pPr>
      <w:r>
        <w:rPr>
          <w:b/>
        </w:rPr>
        <w:t>Primär</w:t>
      </w:r>
      <w:r>
        <w:t>: Pfad A (Lizenz Vellbruck) — sofort verhandeln. Ziel: Lizenzabschluss bis 30.05.2026.</w:t>
      </w:r>
    </w:p>
    <w:p>
      <w:pPr>
        <w:jc w:val="left"/>
      </w:pPr>
      <w:r>
        <w:rPr>
          <w:b/>
        </w:rPr>
        <w:t>Parallel</w:t>
      </w:r>
      <w:r>
        <w:t>: Pfad B (Nichtigkeitsklage) — Klage vorbereiten, einreichen nach Scheitern der Lizenzverhandlung oder parallel als Druckmittel. Lizenzverhandlung + Nichtigkeitsklage parallel ist gängige Praxis.</w:t>
      </w:r>
    </w:p>
    <w:p>
      <w:pPr>
        <w:jc w:val="left"/>
      </w:pPr>
      <w:r>
        <w:rPr>
          <w:b/>
        </w:rPr>
        <w:t>Nachrangig</w:t>
      </w:r>
      <w:r>
        <w:t>: Pfad C (Redesign) — technisch prüfen, aber nicht als Primäroption verfolgen.</w:t>
      </w:r>
    </w:p>
    <w:p>
      <w:pPr>
        <w:jc w:val="left"/>
      </w:pPr>
      <w:r>
        <w:t>Für USA: IPR-Antrag gegen Vestas-Patente prüfen (Frist beachten).</w:t>
      </w:r>
    </w:p>
    <w:p>
      <w:pPr>
        <w:jc w:val="left"/>
      </w:pPr>
      <w:r>
        <w:t>Quellen: dejure.org — § 22 PatG | dejure.org — § 139 PatG | DPMA BPatG | EPO Art. 99 EPÜ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Vellbruck Energietechnik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Vellbruck Energietechnik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