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20 — Mediationsversuch und bilaterales Sondierungsgespräch Vellbruck</w:t>
      </w:r>
    </w:p>
    <w:p>
      <w:pPr>
        <w:jc w:val="left"/>
      </w:pPr>
      <w:r>
        <w:t>AZ: SE-2026-FTO-0717 | Bearb.: Dr. Stadter-Birkenhain | Stand: 15.04.2026</w:t>
      </w:r>
    </w:p>
    <w:p/>
    <w:p>
      <w:pPr>
        <w:pStyle w:val="Heading2"/>
      </w:pPr>
      <w:r>
        <w:rPr>
          <w:rFonts w:ascii="Times New Roman" w:hAnsi="Times New Roman"/>
        </w:rPr>
        <w:t>1. Chronologie Erstkontakt Vellbruck</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Datum</w:t>
            </w:r>
          </w:p>
        </w:tc>
        <w:tc>
          <w:tcPr>
            <w:tcW w:type="dxa" w:w="3024"/>
          </w:tcPr>
          <w:p>
            <w:r>
              <w:rPr>
                <w:rFonts w:ascii="Times New Roman" w:hAnsi="Times New Roman"/>
                <w:b/>
                <w:sz w:val="20"/>
              </w:rPr>
              <w:t>Maßnahme</w:t>
            </w:r>
          </w:p>
        </w:tc>
        <w:tc>
          <w:tcPr>
            <w:tcW w:type="dxa" w:w="3024"/>
          </w:tcPr>
          <w:p>
            <w:r>
              <w:rPr>
                <w:rFonts w:ascii="Times New Roman" w:hAnsi="Times New Roman"/>
                <w:b/>
                <w:sz w:val="20"/>
              </w:rPr>
              <w:t>Ergebnis</w:t>
            </w:r>
          </w:p>
        </w:tc>
      </w:tr>
      <w:tr>
        <w:tc>
          <w:tcPr>
            <w:tcW w:type="dxa" w:w="3024"/>
          </w:tcPr>
          <w:p>
            <w:r>
              <w:rPr>
                <w:rFonts w:ascii="Times New Roman" w:hAnsi="Times New Roman"/>
                <w:sz w:val="20"/>
              </w:rPr>
              <w:t>28.02.2026</w:t>
            </w:r>
          </w:p>
        </w:tc>
        <w:tc>
          <w:tcPr>
            <w:tcW w:type="dxa" w:w="3024"/>
          </w:tcPr>
          <w:p>
            <w:r>
              <w:rPr>
                <w:rFonts w:ascii="Times New Roman" w:hAnsi="Times New Roman"/>
                <w:sz w:val="20"/>
              </w:rPr>
              <w:t>FTO-Bericht intern fertiggestellt; Entscheidung: Lizenz-Sondierung</w:t>
            </w:r>
          </w:p>
        </w:tc>
        <w:tc>
          <w:tcPr>
            <w:tcW w:type="dxa" w:w="3024"/>
          </w:tcPr>
          <w:p>
            <w:r>
              <w:rPr>
                <w:rFonts w:ascii="Times New Roman" w:hAnsi="Times New Roman"/>
                <w:sz w:val="20"/>
              </w:rPr>
              <w:t>—</w:t>
            </w:r>
          </w:p>
        </w:tc>
      </w:tr>
      <w:tr>
        <w:tc>
          <w:tcPr>
            <w:tcW w:type="dxa" w:w="3024"/>
          </w:tcPr>
          <w:p>
            <w:r>
              <w:rPr>
                <w:rFonts w:ascii="Times New Roman" w:hAnsi="Times New Roman"/>
                <w:sz w:val="20"/>
              </w:rPr>
              <w:t>10.03.2026</w:t>
            </w:r>
          </w:p>
        </w:tc>
        <w:tc>
          <w:tcPr>
            <w:tcW w:type="dxa" w:w="3024"/>
          </w:tcPr>
          <w:p>
            <w:r>
              <w:rPr>
                <w:rFonts w:ascii="Times New Roman" w:hAnsi="Times New Roman"/>
                <w:sz w:val="20"/>
              </w:rPr>
              <w:t>Anschreiben Dr. Stadter-Birkenhain an Vellbruck-Geschäftsführer Rolf-Dieter Vellbruck</w:t>
            </w:r>
          </w:p>
        </w:tc>
        <w:tc>
          <w:tcPr>
            <w:tcW w:type="dxa" w:w="3024"/>
          </w:tcPr>
          <w:p>
            <w:r>
              <w:rPr>
                <w:rFonts w:ascii="Times New Roman" w:hAnsi="Times New Roman"/>
                <w:sz w:val="20"/>
              </w:rPr>
              <w:t>Kontaktaufnahme, Lizenz-Interesse signalisiert</w:t>
            </w:r>
          </w:p>
        </w:tc>
      </w:tr>
      <w:tr>
        <w:tc>
          <w:tcPr>
            <w:tcW w:type="dxa" w:w="3024"/>
          </w:tcPr>
          <w:p>
            <w:r>
              <w:rPr>
                <w:rFonts w:ascii="Times New Roman" w:hAnsi="Times New Roman"/>
                <w:sz w:val="20"/>
              </w:rPr>
              <w:t>18.03.2026</w:t>
            </w:r>
          </w:p>
        </w:tc>
        <w:tc>
          <w:tcPr>
            <w:tcW w:type="dxa" w:w="3024"/>
          </w:tcPr>
          <w:p>
            <w:r>
              <w:rPr>
                <w:rFonts w:ascii="Times New Roman" w:hAnsi="Times New Roman"/>
                <w:sz w:val="20"/>
              </w:rPr>
              <w:t>Rückmeldung Vellbruck: PA Klaus-Holger Trautmann (Kanzlei IP-Bremer &amp; Partner, Oldenburg) übernimmt Vertretung</w:t>
            </w:r>
          </w:p>
        </w:tc>
        <w:tc>
          <w:tcPr>
            <w:tcW w:type="dxa" w:w="3024"/>
          </w:tcPr>
          <w:p>
            <w:r>
              <w:rPr>
                <w:rFonts w:ascii="Times New Roman" w:hAnsi="Times New Roman"/>
                <w:sz w:val="20"/>
              </w:rPr>
              <w:t>—</w:t>
            </w:r>
          </w:p>
        </w:tc>
      </w:tr>
      <w:tr>
        <w:tc>
          <w:tcPr>
            <w:tcW w:type="dxa" w:w="3024"/>
          </w:tcPr>
          <w:p>
            <w:r>
              <w:rPr>
                <w:rFonts w:ascii="Times New Roman" w:hAnsi="Times New Roman"/>
                <w:sz w:val="20"/>
              </w:rPr>
              <w:t>01.04.2026</w:t>
            </w:r>
          </w:p>
        </w:tc>
        <w:tc>
          <w:tcPr>
            <w:tcW w:type="dxa" w:w="3024"/>
          </w:tcPr>
          <w:p>
            <w:r>
              <w:rPr>
                <w:rFonts w:ascii="Times New Roman" w:hAnsi="Times New Roman"/>
                <w:sz w:val="20"/>
              </w:rPr>
              <w:t>Telefonat Dr. Stadter-Birkenhain mit PA Trautmann</w:t>
            </w:r>
          </w:p>
        </w:tc>
        <w:tc>
          <w:tcPr>
            <w:tcW w:type="dxa" w:w="3024"/>
          </w:tcPr>
          <w:p>
            <w:r>
              <w:rPr>
                <w:rFonts w:ascii="Times New Roman" w:hAnsi="Times New Roman"/>
                <w:sz w:val="20"/>
              </w:rPr>
              <w:t>Gegenseitige Vertretung bestätigt; NDA für Gespräch</w:t>
            </w:r>
          </w:p>
        </w:tc>
      </w:tr>
      <w:tr>
        <w:tc>
          <w:tcPr>
            <w:tcW w:type="dxa" w:w="3024"/>
          </w:tcPr>
          <w:p>
            <w:r>
              <w:rPr>
                <w:rFonts w:ascii="Times New Roman" w:hAnsi="Times New Roman"/>
                <w:sz w:val="20"/>
              </w:rPr>
              <w:t>08.04.2026</w:t>
            </w:r>
          </w:p>
        </w:tc>
        <w:tc>
          <w:tcPr>
            <w:tcW w:type="dxa" w:w="3024"/>
          </w:tcPr>
          <w:p>
            <w:r>
              <w:rPr>
                <w:rFonts w:ascii="Times New Roman" w:hAnsi="Times New Roman"/>
                <w:sz w:val="20"/>
              </w:rPr>
              <w:t>Unterzeichnung NDA (Muster-NDA nach DIN)</w:t>
            </w:r>
          </w:p>
        </w:tc>
        <w:tc>
          <w:tcPr>
            <w:tcW w:type="dxa" w:w="3024"/>
          </w:tcPr>
          <w:p>
            <w:r>
              <w:rPr>
                <w:rFonts w:ascii="Times New Roman" w:hAnsi="Times New Roman"/>
                <w:sz w:val="20"/>
              </w:rPr>
              <w:t>—</w:t>
            </w:r>
          </w:p>
        </w:tc>
      </w:tr>
      <w:tr>
        <w:tc>
          <w:tcPr>
            <w:tcW w:type="dxa" w:w="3024"/>
          </w:tcPr>
          <w:p>
            <w:r>
              <w:rPr>
                <w:rFonts w:ascii="Times New Roman" w:hAnsi="Times New Roman"/>
                <w:sz w:val="20"/>
              </w:rPr>
              <w:t>12.04.2026</w:t>
            </w:r>
          </w:p>
        </w:tc>
        <w:tc>
          <w:tcPr>
            <w:tcW w:type="dxa" w:w="3024"/>
          </w:tcPr>
          <w:p>
            <w:r>
              <w:rPr>
                <w:rFonts w:ascii="Times New Roman" w:hAnsi="Times New Roman"/>
                <w:sz w:val="20"/>
              </w:rPr>
              <w:t>Sondierungsgespräch Hamburg (Kanzleiräume Stadter &amp; Eppendorfer)</w:t>
            </w:r>
          </w:p>
        </w:tc>
        <w:tc>
          <w:tcPr>
            <w:tcW w:type="dxa" w:w="3024"/>
          </w:tcPr>
          <w:p>
            <w:r>
              <w:rPr>
                <w:rFonts w:ascii="Times New Roman" w:hAnsi="Times New Roman"/>
                <w:sz w:val="20"/>
              </w:rPr>
              <w:t>Protokoll (s.u.)</w:t>
            </w:r>
          </w:p>
        </w:tc>
      </w:tr>
      <w:tr>
        <w:tc>
          <w:tcPr>
            <w:tcW w:type="dxa" w:w="3024"/>
          </w:tcPr>
          <w:p>
            <w:r>
              <w:rPr>
                <w:rFonts w:ascii="Times New Roman" w:hAnsi="Times New Roman"/>
                <w:sz w:val="20"/>
              </w:rPr>
              <w:t>29.04.2026</w:t>
            </w:r>
          </w:p>
        </w:tc>
        <w:tc>
          <w:tcPr>
            <w:tcW w:type="dxa" w:w="3024"/>
          </w:tcPr>
          <w:p>
            <w:r>
              <w:rPr>
                <w:rFonts w:ascii="Times New Roman" w:hAnsi="Times New Roman"/>
                <w:sz w:val="20"/>
              </w:rPr>
              <w:t>Vellbruck übermittelt vorläufiges Term-Sheet</w:t>
            </w:r>
          </w:p>
        </w:tc>
        <w:tc>
          <w:tcPr>
            <w:tcW w:type="dxa" w:w="3024"/>
          </w:tcPr>
          <w:p>
            <w:r>
              <w:rPr>
                <w:rFonts w:ascii="Times New Roman" w:hAnsi="Times New Roman"/>
                <w:sz w:val="20"/>
              </w:rPr>
              <w:t>Anlage 20-A</w:t>
            </w:r>
          </w:p>
        </w:tc>
      </w:tr>
    </w:tbl>
    <w:p>
      <w:pPr>
        <w:pStyle w:val="Heading2"/>
      </w:pPr>
      <w:r>
        <w:rPr>
          <w:rFonts w:ascii="Times New Roman" w:hAnsi="Times New Roman"/>
        </w:rPr>
        <w:t>2. Protokoll Sondierungsgespräch 12.04.2026</w:t>
      </w:r>
    </w:p>
    <w:p>
      <w:pPr>
        <w:jc w:val="left"/>
      </w:pPr>
      <w:r>
        <w:t>Teilnehmer Kanzlei Stadter &amp; Eppendorfer: PA Dr. Eveline Stadter-Birkenhain, Dipl.-Ing. Carsten Thordsen (CTO Windsysteme Norderhof AG als Gast).</w:t>
      </w:r>
    </w:p>
    <w:p>
      <w:pPr>
        <w:jc w:val="left"/>
      </w:pPr>
      <w:r>
        <w:t>Teilnehmer Vellbruck-Seite: Rolf-Dieter Vellbruck (GF), PA Klaus-Holger Trautmann.</w:t>
      </w:r>
    </w:p>
    <w:p>
      <w:pPr>
        <w:jc w:val="left"/>
      </w:pPr>
      <w:r>
        <w:t>Ort: Neuer Wall 44, 20354 Hamburg (Kanzleiräume), Konferenzraum 3.</w:t>
      </w:r>
    </w:p>
    <w:p>
      <w:pPr>
        <w:jc w:val="left"/>
      </w:pPr>
      <w:r>
        <w:t>Beginn: 10:00 Uhr. Ende: 12:45 Uhr.</w:t>
      </w:r>
    </w:p>
    <w:p>
      <w:pPr>
        <w:pStyle w:val="Heading3"/>
      </w:pPr>
      <w:r>
        <w:rPr>
          <w:rFonts w:ascii="Times New Roman" w:hAnsi="Times New Roman"/>
        </w:rPr>
        <w:t>Wesentliche Gesprächspunkte</w:t>
      </w:r>
    </w:p>
    <w:p>
      <w:pPr>
        <w:jc w:val="left"/>
      </w:pPr>
      <w:r>
        <w:rPr>
          <w:b/>
        </w:rPr>
        <w:t>1. Grundsätzliche Lizenzbereitschaft</w:t>
      </w:r>
      <w:r>
        <w:t>: Vellbruck GF Rolf-Dieter Vellbruck bestätigte ausdrücklich Lizenzierungsbereitschaft für EP 3 218 922 B1. „Wir sind ein Lizenzunternehmen, keine Produktionsfirma. Wir haben kein Interesse daran, Markteintritte zu blockieren, wenn faire Konditionen vereinbart werden."</w:t>
      </w:r>
    </w:p>
    <w:p>
      <w:pPr>
        <w:jc w:val="left"/>
      </w:pPr>
      <w:r>
        <w:rPr>
          <w:b/>
        </w:rPr>
        <w:t>2. Schutzbereich-Diskussion</w:t>
      </w:r>
      <w:r>
        <w:t>: CTO Thordsen legte eine technische Präsentation (5 Folien) zu IceFree v3 vor. PA Trautmann erklärte, dass Vellbruck keine detaillierte technische Würdigung vornehmen werde, solange kein Lizenzvertrag geschlossen sei. Verwies auf Parallelverhandlungen mit zwei weiteren potenziellen Lizenznehmern.</w:t>
      </w:r>
    </w:p>
    <w:p>
      <w:pPr>
        <w:jc w:val="left"/>
      </w:pPr>
      <w:r>
        <w:rPr>
          <w:b/>
        </w:rPr>
        <w:t>3. FRAND-Referenzrahmen</w:t>
      </w:r>
      <w:r>
        <w:t>: PA Trautmann: Vellbruck ist bereit, FRAND-Konditionen anzuwenden. Referenz: Lizenzvertrag mit HeatWind GmbH (geschlossen 2024, Inhalte vertraulich). Vellbruck suggerierte Lizenzsatz im Bereich 2,5–3,5 %.</w:t>
      </w:r>
    </w:p>
    <w:p>
      <w:pPr>
        <w:jc w:val="left"/>
      </w:pPr>
      <w:r>
        <w:rPr>
          <w:b/>
        </w:rPr>
        <w:t>4. Laufzeit und Gebietsumfang</w:t>
      </w:r>
      <w:r>
        <w:t>: Vellbruck würde weltweite Lizenz für alle EP-Validierungsstaaten + DE anbieten. Laufzeit: bis Patentablauf (25.05.2038), ohne Verlängerungsoption.</w:t>
      </w:r>
    </w:p>
    <w:p>
      <w:pPr>
        <w:jc w:val="left"/>
      </w:pPr>
      <w:r>
        <w:rPr>
          <w:b/>
        </w:rPr>
        <w:t>5. Mindestlizenzgebühr</w:t>
      </w:r>
      <w:r>
        <w:t>: Vellbruck fordert Mindestlizenzgebühr von EUR 150.000/Jahr, unabhängig von tatsächlichem Umsatz.</w:t>
      </w:r>
    </w:p>
    <w:p>
      <w:pPr>
        <w:jc w:val="left"/>
      </w:pPr>
      <w:r>
        <w:rPr>
          <w:b/>
        </w:rPr>
        <w:t>6. Sublizenzierung</w:t>
      </w:r>
      <w:r>
        <w:t>: Nicht vorgesehen (Vellbruck besteht auf direkter Lizenz mit Windsysteme Norderhof AG). Sub-Lizenz an Kunden des Mandanten möglich gegen Aufpreis.</w:t>
      </w:r>
    </w:p>
    <w:p>
      <w:pPr>
        <w:jc w:val="left"/>
      </w:pPr>
      <w:r>
        <w:rPr>
          <w:b/>
        </w:rPr>
        <w:t>7. Keine Rücklizenz</w:t>
      </w:r>
      <w:r>
        <w:t>: Vellbruck verlangt keine Rücklizenz auf IceFree-v3-Eigenentwicklungen des Mandanten.</w:t>
      </w:r>
    </w:p>
    <w:p>
      <w:pPr>
        <w:jc w:val="left"/>
      </w:pPr>
      <w:r>
        <w:rPr>
          <w:b/>
        </w:rPr>
        <w:t>8. Reaktion CTO Thordsen</w:t>
      </w:r>
      <w:r>
        <w:t>: Thordsen äußerte Bedenken hinsichtlich Mindestlizenzgebühr; verwies auf Anlaufphase des Produkts bis 2028. Bat um gestaffelte Mindestgebühr (2026–2027: EUR 75.000; ab 2028: EUR 150.000).</w:t>
      </w:r>
    </w:p>
    <w:p>
      <w:pPr>
        <w:pStyle w:val="Heading2"/>
      </w:pPr>
      <w:r>
        <w:rPr>
          <w:rFonts w:ascii="Times New Roman" w:hAnsi="Times New Roman"/>
        </w:rPr>
        <w:t>3. Vorläufiges Term-Sheet Vellbruck (29.04.2026) — Anlage 20-A</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Kondition</w:t>
            </w:r>
          </w:p>
        </w:tc>
        <w:tc>
          <w:tcPr>
            <w:tcW w:type="dxa" w:w="3024"/>
          </w:tcPr>
          <w:p>
            <w:r>
              <w:rPr>
                <w:rFonts w:ascii="Times New Roman" w:hAnsi="Times New Roman"/>
                <w:b/>
                <w:sz w:val="20"/>
              </w:rPr>
              <w:t>Vellbruck-Angebot (29.04.2026)</w:t>
            </w:r>
          </w:p>
        </w:tc>
        <w:tc>
          <w:tcPr>
            <w:tcW w:type="dxa" w:w="3024"/>
          </w:tcPr>
          <w:p>
            <w:r>
              <w:rPr>
                <w:rFonts w:ascii="Times New Roman" w:hAnsi="Times New Roman"/>
                <w:b/>
                <w:sz w:val="20"/>
              </w:rPr>
              <w:t>Gegenvorschlag Norderhof (ausstehend)</w:t>
            </w:r>
          </w:p>
        </w:tc>
      </w:tr>
      <w:tr>
        <w:tc>
          <w:tcPr>
            <w:tcW w:type="dxa" w:w="3024"/>
          </w:tcPr>
          <w:p>
            <w:r>
              <w:rPr>
                <w:rFonts w:ascii="Times New Roman" w:hAnsi="Times New Roman"/>
                <w:sz w:val="20"/>
              </w:rPr>
              <w:t>Lizenzsatz</w:t>
            </w:r>
          </w:p>
        </w:tc>
        <w:tc>
          <w:tcPr>
            <w:tcW w:type="dxa" w:w="3024"/>
          </w:tcPr>
          <w:p>
            <w:r>
              <w:rPr>
                <w:rFonts w:ascii="Times New Roman" w:hAnsi="Times New Roman"/>
                <w:sz w:val="20"/>
              </w:rPr>
              <w:t>3,0 % Nettoumsatz DE/EU</w:t>
            </w:r>
          </w:p>
        </w:tc>
        <w:tc>
          <w:tcPr>
            <w:tcW w:type="dxa" w:w="3024"/>
          </w:tcPr>
          <w:p>
            <w:r>
              <w:rPr>
                <w:rFonts w:ascii="Times New Roman" w:hAnsi="Times New Roman"/>
                <w:sz w:val="20"/>
              </w:rPr>
              <w:t>2,5 %</w:t>
            </w:r>
          </w:p>
        </w:tc>
      </w:tr>
      <w:tr>
        <w:tc>
          <w:tcPr>
            <w:tcW w:type="dxa" w:w="3024"/>
          </w:tcPr>
          <w:p>
            <w:r>
              <w:rPr>
                <w:rFonts w:ascii="Times New Roman" w:hAnsi="Times New Roman"/>
                <w:sz w:val="20"/>
              </w:rPr>
              <w:t>Mindestlizenzgebühr</w:t>
            </w:r>
          </w:p>
        </w:tc>
        <w:tc>
          <w:tcPr>
            <w:tcW w:type="dxa" w:w="3024"/>
          </w:tcPr>
          <w:p>
            <w:r>
              <w:rPr>
                <w:rFonts w:ascii="Times New Roman" w:hAnsi="Times New Roman"/>
                <w:sz w:val="20"/>
              </w:rPr>
              <w:t>EUR 150.000/Jahr</w:t>
            </w:r>
          </w:p>
        </w:tc>
        <w:tc>
          <w:tcPr>
            <w:tcW w:type="dxa" w:w="3024"/>
          </w:tcPr>
          <w:p>
            <w:r>
              <w:rPr>
                <w:rFonts w:ascii="Times New Roman" w:hAnsi="Times New Roman"/>
                <w:sz w:val="20"/>
              </w:rPr>
              <w:t>EUR 75.000/Jahr bis Ende 2027</w:t>
            </w:r>
          </w:p>
        </w:tc>
      </w:tr>
      <w:tr>
        <w:tc>
          <w:tcPr>
            <w:tcW w:type="dxa" w:w="3024"/>
          </w:tcPr>
          <w:p>
            <w:r>
              <w:rPr>
                <w:rFonts w:ascii="Times New Roman" w:hAnsi="Times New Roman"/>
                <w:sz w:val="20"/>
              </w:rPr>
              <w:t>Geografische Reichweite</w:t>
            </w:r>
          </w:p>
        </w:tc>
        <w:tc>
          <w:tcPr>
            <w:tcW w:type="dxa" w:w="3024"/>
          </w:tcPr>
          <w:p>
            <w:r>
              <w:rPr>
                <w:rFonts w:ascii="Times New Roman" w:hAnsi="Times New Roman"/>
                <w:sz w:val="20"/>
              </w:rPr>
              <w:t>EP-Validierungsstaaten + DE</w:t>
            </w:r>
          </w:p>
        </w:tc>
        <w:tc>
          <w:tcPr>
            <w:tcW w:type="dxa" w:w="3024"/>
          </w:tcPr>
          <w:p>
            <w:r>
              <w:rPr>
                <w:rFonts w:ascii="Times New Roman" w:hAnsi="Times New Roman"/>
                <w:sz w:val="20"/>
              </w:rPr>
              <w:t>Identisch</w:t>
            </w:r>
          </w:p>
        </w:tc>
      </w:tr>
      <w:tr>
        <w:tc>
          <w:tcPr>
            <w:tcW w:type="dxa" w:w="3024"/>
          </w:tcPr>
          <w:p>
            <w:r>
              <w:rPr>
                <w:rFonts w:ascii="Times New Roman" w:hAnsi="Times New Roman"/>
                <w:sz w:val="20"/>
              </w:rPr>
              <w:t>Laufzeit</w:t>
            </w:r>
          </w:p>
        </w:tc>
        <w:tc>
          <w:tcPr>
            <w:tcW w:type="dxa" w:w="3024"/>
          </w:tcPr>
          <w:p>
            <w:r>
              <w:rPr>
                <w:rFonts w:ascii="Times New Roman" w:hAnsi="Times New Roman"/>
                <w:sz w:val="20"/>
              </w:rPr>
              <w:t>Bis Patentablauf (25.05.2038)</w:t>
            </w:r>
          </w:p>
        </w:tc>
        <w:tc>
          <w:tcPr>
            <w:tcW w:type="dxa" w:w="3024"/>
          </w:tcPr>
          <w:p>
            <w:r>
              <w:rPr>
                <w:rFonts w:ascii="Times New Roman" w:hAnsi="Times New Roman"/>
                <w:sz w:val="20"/>
              </w:rPr>
              <w:t>Identisch</w:t>
            </w:r>
          </w:p>
        </w:tc>
      </w:tr>
      <w:tr>
        <w:tc>
          <w:tcPr>
            <w:tcW w:type="dxa" w:w="3024"/>
          </w:tcPr>
          <w:p>
            <w:r>
              <w:rPr>
                <w:rFonts w:ascii="Times New Roman" w:hAnsi="Times New Roman"/>
                <w:sz w:val="20"/>
              </w:rPr>
              <w:t>Sublizenz</w:t>
            </w:r>
          </w:p>
        </w:tc>
        <w:tc>
          <w:tcPr>
            <w:tcW w:type="dxa" w:w="3024"/>
          </w:tcPr>
          <w:p>
            <w:r>
              <w:rPr>
                <w:rFonts w:ascii="Times New Roman" w:hAnsi="Times New Roman"/>
                <w:sz w:val="20"/>
              </w:rPr>
              <w:t>Nicht vorgesehen</w:t>
            </w:r>
          </w:p>
        </w:tc>
        <w:tc>
          <w:tcPr>
            <w:tcW w:type="dxa" w:w="3024"/>
          </w:tcPr>
          <w:p>
            <w:r>
              <w:rPr>
                <w:rFonts w:ascii="Times New Roman" w:hAnsi="Times New Roman"/>
                <w:sz w:val="20"/>
              </w:rPr>
              <w:t>Sublizenz für Endkunden erforderlich</w:t>
            </w:r>
          </w:p>
        </w:tc>
      </w:tr>
      <w:tr>
        <w:tc>
          <w:tcPr>
            <w:tcW w:type="dxa" w:w="3024"/>
          </w:tcPr>
          <w:p>
            <w:r>
              <w:rPr>
                <w:rFonts w:ascii="Times New Roman" w:hAnsi="Times New Roman"/>
                <w:sz w:val="20"/>
              </w:rPr>
              <w:t>Reporting</w:t>
            </w:r>
          </w:p>
        </w:tc>
        <w:tc>
          <w:tcPr>
            <w:tcW w:type="dxa" w:w="3024"/>
          </w:tcPr>
          <w:p>
            <w:r>
              <w:rPr>
                <w:rFonts w:ascii="Times New Roman" w:hAnsi="Times New Roman"/>
                <w:sz w:val="20"/>
              </w:rPr>
              <w:t>Jährlich, testiert</w:t>
            </w:r>
          </w:p>
        </w:tc>
        <w:tc>
          <w:tcPr>
            <w:tcW w:type="dxa" w:w="3024"/>
          </w:tcPr>
          <w:p>
            <w:r>
              <w:rPr>
                <w:rFonts w:ascii="Times New Roman" w:hAnsi="Times New Roman"/>
                <w:sz w:val="20"/>
              </w:rPr>
              <w:t>Quartalsweise</w:t>
            </w:r>
          </w:p>
        </w:tc>
      </w:tr>
      <w:tr>
        <w:tc>
          <w:tcPr>
            <w:tcW w:type="dxa" w:w="3024"/>
          </w:tcPr>
          <w:p>
            <w:r>
              <w:rPr>
                <w:rFonts w:ascii="Times New Roman" w:hAnsi="Times New Roman"/>
                <w:sz w:val="20"/>
              </w:rPr>
              <w:t>Meistbegünstigung</w:t>
            </w:r>
          </w:p>
        </w:tc>
        <w:tc>
          <w:tcPr>
            <w:tcW w:type="dxa" w:w="3024"/>
          </w:tcPr>
          <w:p>
            <w:r>
              <w:rPr>
                <w:rFonts w:ascii="Times New Roman" w:hAnsi="Times New Roman"/>
                <w:sz w:val="20"/>
              </w:rPr>
              <w:t>Nicht angeboten</w:t>
            </w:r>
          </w:p>
        </w:tc>
        <w:tc>
          <w:tcPr>
            <w:tcW w:type="dxa" w:w="3024"/>
          </w:tcPr>
          <w:p>
            <w:r>
              <w:rPr>
                <w:rFonts w:ascii="Times New Roman" w:hAnsi="Times New Roman"/>
                <w:sz w:val="20"/>
              </w:rPr>
              <w:t>Verlangt</w:t>
            </w:r>
          </w:p>
        </w:tc>
      </w:tr>
      <w:tr>
        <w:tc>
          <w:tcPr>
            <w:tcW w:type="dxa" w:w="3024"/>
          </w:tcPr>
          <w:p>
            <w:r>
              <w:rPr>
                <w:rFonts w:ascii="Times New Roman" w:hAnsi="Times New Roman"/>
                <w:sz w:val="20"/>
              </w:rPr>
              <w:t>Rücklizenz</w:t>
            </w:r>
          </w:p>
        </w:tc>
        <w:tc>
          <w:tcPr>
            <w:tcW w:type="dxa" w:w="3024"/>
          </w:tcPr>
          <w:p>
            <w:r>
              <w:rPr>
                <w:rFonts w:ascii="Times New Roman" w:hAnsi="Times New Roman"/>
                <w:sz w:val="20"/>
              </w:rPr>
              <w:t>Keine</w:t>
            </w:r>
          </w:p>
        </w:tc>
        <w:tc>
          <w:tcPr>
            <w:tcW w:type="dxa" w:w="3024"/>
          </w:tcPr>
          <w:p>
            <w:r>
              <w:rPr>
                <w:rFonts w:ascii="Times New Roman" w:hAnsi="Times New Roman"/>
                <w:sz w:val="20"/>
              </w:rPr>
              <w:t>Keine</w:t>
            </w:r>
          </w:p>
        </w:tc>
      </w:tr>
      <w:tr>
        <w:tc>
          <w:tcPr>
            <w:tcW w:type="dxa" w:w="3024"/>
          </w:tcPr>
          <w:p>
            <w:r>
              <w:rPr>
                <w:rFonts w:ascii="Times New Roman" w:hAnsi="Times New Roman"/>
                <w:sz w:val="20"/>
              </w:rPr>
              <w:t>Auditrecht</w:t>
            </w:r>
          </w:p>
        </w:tc>
        <w:tc>
          <w:tcPr>
            <w:tcW w:type="dxa" w:w="3024"/>
          </w:tcPr>
          <w:p>
            <w:r>
              <w:rPr>
                <w:rFonts w:ascii="Times New Roman" w:hAnsi="Times New Roman"/>
                <w:sz w:val="20"/>
              </w:rPr>
              <w:t>Einmal jährlich</w:t>
            </w:r>
          </w:p>
        </w:tc>
        <w:tc>
          <w:tcPr>
            <w:tcW w:type="dxa" w:w="3024"/>
          </w:tcPr>
          <w:p>
            <w:r>
              <w:rPr>
                <w:rFonts w:ascii="Times New Roman" w:hAnsi="Times New Roman"/>
                <w:sz w:val="20"/>
              </w:rPr>
              <w:t>Einmal alle zwei Jahre</w:t>
            </w:r>
          </w:p>
        </w:tc>
      </w:tr>
    </w:tbl>
    <w:p>
      <w:pPr>
        <w:pStyle w:val="Heading2"/>
      </w:pPr>
      <w:r>
        <w:rPr>
          <w:rFonts w:ascii="Times New Roman" w:hAnsi="Times New Roman"/>
        </w:rPr>
        <w:t>4. Bewertung Term-Sheet</w:t>
      </w:r>
    </w:p>
    <w:p>
      <w:pPr>
        <w:jc w:val="left"/>
      </w:pPr>
      <w:r>
        <w:t>Offene Punkte mit höchster Priorität:</w:t>
      </w:r>
    </w:p>
    <w:p>
      <w:pPr>
        <w:pStyle w:val="ListNumber"/>
      </w:pPr>
      <w:r>
        <w:rPr>
          <w:b/>
        </w:rPr>
        <w:t>Mindestlizenzgebühr</w:t>
      </w:r>
      <w:r>
        <w:t xml:space="preserve"> (EUR 150.000 vs. EUR 75.000 gestaffelt): Kompromiss EUR 90.000/Jahr erste 2 Jahre, dann EUR 150.000 erscheint verhandelbar.</w:t>
      </w:r>
    </w:p>
    <w:p>
      <w:pPr>
        <w:pStyle w:val="ListNumber"/>
      </w:pPr>
      <w:r>
        <w:rPr>
          <w:b/>
        </w:rPr>
        <w:t>Sublizenz</w:t>
      </w:r>
      <w:r>
        <w:t>: Für B2B-Vertrieb des Mandanten (Lizenz an Windparkbetreiber) zwingend erforderlich. Vellbruck muss zustimmen.</w:t>
      </w:r>
    </w:p>
    <w:p>
      <w:pPr>
        <w:pStyle w:val="ListNumber"/>
      </w:pPr>
      <w:r>
        <w:rPr>
          <w:b/>
        </w:rPr>
        <w:t>Meistbegünstigung</w:t>
      </w:r>
      <w:r>
        <w:t>: Wichtig für Planungssicherheit. Referenz: HeatWind-Vertrag.</w:t>
      </w:r>
    </w:p>
    <w:p>
      <w:pPr>
        <w:pStyle w:val="ListNumber"/>
      </w:pPr>
      <w:r>
        <w:rPr>
          <w:b/>
        </w:rPr>
        <w:t>Audit</w:t>
      </w:r>
      <w:r>
        <w:t>: Jährlich ist marktüblich — kein Widerspruch.</w:t>
      </w:r>
    </w:p>
    <w:p>
      <w:pPr>
        <w:pStyle w:val="Heading2"/>
      </w:pPr>
      <w:r>
        <w:rPr>
          <w:rFonts w:ascii="Times New Roman" w:hAnsi="Times New Roman"/>
        </w:rPr>
        <w:t>5. Nächste Schritte Lizenzverhandlung</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Schritt</w:t>
            </w:r>
          </w:p>
        </w:tc>
        <w:tc>
          <w:tcPr>
            <w:tcW w:type="dxa" w:w="3024"/>
          </w:tcPr>
          <w:p>
            <w:r>
              <w:rPr>
                <w:rFonts w:ascii="Times New Roman" w:hAnsi="Times New Roman"/>
                <w:b/>
                <w:sz w:val="20"/>
              </w:rPr>
              <w:t>Frist</w:t>
            </w:r>
          </w:p>
        </w:tc>
        <w:tc>
          <w:tcPr>
            <w:tcW w:type="dxa" w:w="3024"/>
          </w:tcPr>
          <w:p>
            <w:r>
              <w:rPr>
                <w:rFonts w:ascii="Times New Roman" w:hAnsi="Times New Roman"/>
                <w:b/>
                <w:sz w:val="20"/>
              </w:rPr>
              <w:t>Verantwortlich</w:t>
            </w:r>
          </w:p>
        </w:tc>
      </w:tr>
      <w:tr>
        <w:tc>
          <w:tcPr>
            <w:tcW w:type="dxa" w:w="3024"/>
          </w:tcPr>
          <w:p>
            <w:r>
              <w:rPr>
                <w:rFonts w:ascii="Times New Roman" w:hAnsi="Times New Roman"/>
                <w:sz w:val="20"/>
              </w:rPr>
              <w:t>Gegenvorschlag Term-Sheet ausarbeiten</w:t>
            </w:r>
          </w:p>
        </w:tc>
        <w:tc>
          <w:tcPr>
            <w:tcW w:type="dxa" w:w="3024"/>
          </w:tcPr>
          <w:p>
            <w:r>
              <w:rPr>
                <w:rFonts w:ascii="Times New Roman" w:hAnsi="Times New Roman"/>
                <w:sz w:val="20"/>
              </w:rPr>
              <w:t>07.05.2026</w:t>
            </w:r>
          </w:p>
        </w:tc>
        <w:tc>
          <w:tcPr>
            <w:tcW w:type="dxa" w:w="3024"/>
          </w:tcPr>
          <w:p>
            <w:r>
              <w:rPr>
                <w:rFonts w:ascii="Times New Roman" w:hAnsi="Times New Roman"/>
                <w:sz w:val="20"/>
              </w:rPr>
              <w:t>Dr. Stadter-Birkenhain</w:t>
            </w:r>
          </w:p>
        </w:tc>
      </w:tr>
      <w:tr>
        <w:tc>
          <w:tcPr>
            <w:tcW w:type="dxa" w:w="3024"/>
          </w:tcPr>
          <w:p>
            <w:r>
              <w:rPr>
                <w:rFonts w:ascii="Times New Roman" w:hAnsi="Times New Roman"/>
                <w:sz w:val="20"/>
              </w:rPr>
              <w:t>Abstimmung Gegenvorschlag mit Mandanten</w:t>
            </w:r>
          </w:p>
        </w:tc>
        <w:tc>
          <w:tcPr>
            <w:tcW w:type="dxa" w:w="3024"/>
          </w:tcPr>
          <w:p>
            <w:r>
              <w:rPr>
                <w:rFonts w:ascii="Times New Roman" w:hAnsi="Times New Roman"/>
                <w:sz w:val="20"/>
              </w:rPr>
              <w:t>09.05.2026</w:t>
            </w:r>
          </w:p>
        </w:tc>
        <w:tc>
          <w:tcPr>
            <w:tcW w:type="dxa" w:w="3024"/>
          </w:tcPr>
          <w:p>
            <w:r>
              <w:rPr>
                <w:rFonts w:ascii="Times New Roman" w:hAnsi="Times New Roman"/>
                <w:sz w:val="20"/>
              </w:rPr>
              <w:t>Thordsen / Vorstand</w:t>
            </w:r>
          </w:p>
        </w:tc>
      </w:tr>
      <w:tr>
        <w:tc>
          <w:tcPr>
            <w:tcW w:type="dxa" w:w="3024"/>
          </w:tcPr>
          <w:p>
            <w:r>
              <w:rPr>
                <w:rFonts w:ascii="Times New Roman" w:hAnsi="Times New Roman"/>
                <w:sz w:val="20"/>
              </w:rPr>
              <w:t>Übermittlung Gegenvorschlag an Vellbruck</w:t>
            </w:r>
          </w:p>
        </w:tc>
        <w:tc>
          <w:tcPr>
            <w:tcW w:type="dxa" w:w="3024"/>
          </w:tcPr>
          <w:p>
            <w:r>
              <w:rPr>
                <w:rFonts w:ascii="Times New Roman" w:hAnsi="Times New Roman"/>
                <w:sz w:val="20"/>
              </w:rPr>
              <w:t>12.05.2026</w:t>
            </w:r>
          </w:p>
        </w:tc>
        <w:tc>
          <w:tcPr>
            <w:tcW w:type="dxa" w:w="3024"/>
          </w:tcPr>
          <w:p>
            <w:r>
              <w:rPr>
                <w:rFonts w:ascii="Times New Roman" w:hAnsi="Times New Roman"/>
                <w:sz w:val="20"/>
              </w:rPr>
              <w:t>Dr. Stadter-Birkenhain</w:t>
            </w:r>
          </w:p>
        </w:tc>
      </w:tr>
      <w:tr>
        <w:tc>
          <w:tcPr>
            <w:tcW w:type="dxa" w:w="3024"/>
          </w:tcPr>
          <w:p>
            <w:r>
              <w:rPr>
                <w:rFonts w:ascii="Times New Roman" w:hAnsi="Times New Roman"/>
                <w:sz w:val="20"/>
              </w:rPr>
              <w:t>Zweites Verhandlungsgespräch (geplant Oldenburg)</w:t>
            </w:r>
          </w:p>
        </w:tc>
        <w:tc>
          <w:tcPr>
            <w:tcW w:type="dxa" w:w="3024"/>
          </w:tcPr>
          <w:p>
            <w:r>
              <w:rPr>
                <w:rFonts w:ascii="Times New Roman" w:hAnsi="Times New Roman"/>
                <w:sz w:val="20"/>
              </w:rPr>
              <w:t>21.05.2026</w:t>
            </w:r>
          </w:p>
        </w:tc>
        <w:tc>
          <w:tcPr>
            <w:tcW w:type="dxa" w:w="3024"/>
          </w:tcPr>
          <w:p>
            <w:r>
              <w:rPr>
                <w:rFonts w:ascii="Times New Roman" w:hAnsi="Times New Roman"/>
                <w:sz w:val="20"/>
              </w:rPr>
              <w:t>Beide Parteien</w:t>
            </w:r>
          </w:p>
        </w:tc>
      </w:tr>
      <w:tr>
        <w:tc>
          <w:tcPr>
            <w:tcW w:type="dxa" w:w="3024"/>
          </w:tcPr>
          <w:p>
            <w:r>
              <w:rPr>
                <w:rFonts w:ascii="Times New Roman" w:hAnsi="Times New Roman"/>
                <w:sz w:val="20"/>
              </w:rPr>
              <w:t>Lizenzvertragsentwurf (falls Einigung)</w:t>
            </w:r>
          </w:p>
        </w:tc>
        <w:tc>
          <w:tcPr>
            <w:tcW w:type="dxa" w:w="3024"/>
          </w:tcPr>
          <w:p>
            <w:r>
              <w:rPr>
                <w:rFonts w:ascii="Times New Roman" w:hAnsi="Times New Roman"/>
                <w:sz w:val="20"/>
              </w:rPr>
              <w:t>04.06.2026</w:t>
            </w:r>
          </w:p>
        </w:tc>
        <w:tc>
          <w:tcPr>
            <w:tcW w:type="dxa" w:w="3024"/>
          </w:tcPr>
          <w:p>
            <w:r>
              <w:rPr>
                <w:rFonts w:ascii="Times New Roman" w:hAnsi="Times New Roman"/>
                <w:sz w:val="20"/>
              </w:rPr>
              <w:t>Dr. Eppendorfer</w:t>
            </w:r>
          </w:p>
        </w:tc>
      </w:tr>
      <w:tr>
        <w:tc>
          <w:tcPr>
            <w:tcW w:type="dxa" w:w="3024"/>
          </w:tcPr>
          <w:p>
            <w:r>
              <w:rPr>
                <w:rFonts w:ascii="Times New Roman" w:hAnsi="Times New Roman"/>
                <w:sz w:val="20"/>
              </w:rPr>
              <w:t>Abschluss Lizenzvertrag</w:t>
            </w:r>
          </w:p>
        </w:tc>
        <w:tc>
          <w:tcPr>
            <w:tcW w:type="dxa" w:w="3024"/>
          </w:tcPr>
          <w:p>
            <w:r>
              <w:rPr>
                <w:rFonts w:ascii="Times New Roman" w:hAnsi="Times New Roman"/>
                <w:sz w:val="20"/>
              </w:rPr>
              <w:t>20.06.2026</w:t>
            </w:r>
          </w:p>
        </w:tc>
        <w:tc>
          <w:tcPr>
            <w:tcW w:type="dxa" w:w="3024"/>
          </w:tcPr>
          <w:p>
            <w:r>
              <w:rPr>
                <w:rFonts w:ascii="Times New Roman" w:hAnsi="Times New Roman"/>
                <w:sz w:val="20"/>
              </w:rPr>
              <w:t>Beide Parteien</w:t>
            </w:r>
          </w:p>
        </w:tc>
      </w:tr>
    </w:tbl>
    <w:p>
      <w:pPr>
        <w:jc w:val="left"/>
      </w:pPr>
      <w:r>
        <w:t>Parallel: Nichtigkeitsklage BPatG wird vorbereitet (SV-Beauftragung Prof. Lammers TU Hamburg) — als Druckmittel und Fallback.</w:t>
      </w:r>
    </w:p>
    <w:p>
      <w:pPr>
        <w:jc w:val="left"/>
      </w:pPr>
      <w:r>
        <w:t>Quellen: dejure.org — § 24 PatG Zwangslizenz | EPO Art. 69 EPÜ | BGH FRAND-Entscheidungen</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CTO Windsysteme Norderhof AG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F3864"/>
        <w:sz w:val="22"/>
      </w:rPr>
      <w:t>CTO WINDSYSTEME NORDERHOF AG</w:t>
    </w:r>
  </w:p>
  <w:p>
    <w:pPr>
      <w:jc w:val="left"/>
      <w:pBdr>
        <w:bottom w:val="single" w:sz="8" w:space="2" w:color="1F3864"/>
      </w:pBdr>
    </w:pPr>
    <w:r>
      <w:rPr>
        <w:rFonts w:ascii="Times New Roman" w:hAnsi="Times New Roman"/>
        <w:color w:val="6B6B66"/>
        <w:sz w:val="16"/>
      </w:rPr>
      <w:t>Dipl.-Ing. Carsten Thordsen (CTO Windsysteme Norderhof AG als Gast).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