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Strategiepapier für den Vorstand der Windsysteme Norderhof AG</w:t>
      </w:r>
    </w:p>
    <w:p>
      <w:pPr>
        <w:jc w:val="left"/>
      </w:pPr>
      <w:r>
        <w:t>Vertraulich — Nur für Vorstandsmitglieder und bevollmächtigte Berater</w:t>
      </w:r>
    </w:p>
    <w:p>
      <w:pPr>
        <w:jc w:val="left"/>
      </w:pPr>
      <w:r>
        <w:t>AZ: SE-2026-FTO-0717 | Vorstandssitzung: 15. Mai 2026</w:t>
      </w:r>
    </w:p>
    <w:p>
      <w:pPr>
        <w:jc w:val="left"/>
      </w:pPr>
      <w:r>
        <w:t>Erstellt: Stadter &amp; Eppendorfer PartG mbB, Hamburg</w:t>
      </w:r>
    </w:p>
    <w:p/>
    <w:p>
      <w:pPr>
        <w:pStyle w:val="Heading2"/>
      </w:pPr>
      <w:r>
        <w:rPr>
          <w:rFonts w:ascii="Times New Roman" w:hAnsi="Times New Roman"/>
        </w:rPr>
        <w:t>1. Zusammenfassung und Lageeinschätzung</w:t>
      </w:r>
    </w:p>
    <w:p>
      <w:pPr>
        <w:jc w:val="left"/>
      </w:pPr>
      <w:r>
        <w:t>Die Freedom-to-Operate-Analyse für IceFree v3 (Kanzlei-AZ SE-2026-FTO-0717) ergibt, dass die geplante Markteinführung in Deutschland/EU, USA und China ohne vorherige Schutzrechtsklärung einem erheblichen Verletzungsrisiko ausgesetzt ist. Das kritischste Patent — EP 3 218 922 B1 der Vellbruck Energietechnik GmbH — deckt alle wesentlichen technischen Merkmale von IceFree v3 ab.</w:t>
      </w:r>
    </w:p>
    <w:p>
      <w:pPr>
        <w:jc w:val="left"/>
      </w:pPr>
      <w:r>
        <w:t>Der Vorstand ist aufgefordert, bis zum 30. Juni 2026 eine strategische Entscheidung über den Markteintrittsweg zu treffen. Die Investitionsbindung von EUR 14,7 Mio. (Fertigungsanlage Norderstedt, Vertriebsaufbau) erfordert Planungssicherheit.</w:t>
      </w:r>
    </w:p>
    <w:p>
      <w:pPr>
        <w:pStyle w:val="Heading2"/>
      </w:pPr>
      <w:r>
        <w:rPr>
          <w:rFonts w:ascii="Times New Roman" w:hAnsi="Times New Roman"/>
        </w:rPr>
        <w:t>2. Szenarien-Übersicht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Kernstrategie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Markteintrittstermin EU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Kosten geschätzt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Lizenz Vellbruck + US-Lizenz Vestas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Q3 2026 (plangemäß)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250.000 upfront + ca. 3 % laufend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Nichtigkeitsklage BPatG + einstweiliger Markteintritt mit Sicherheitsleistung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Q4 2026 (mit Risiko)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120.000 Klage + EUR 500.000 Sicherheitsleistung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MITTEL-HOCH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Verzögerter Markteintritt (Redesign)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Q2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1,8–2,4 Mio. Redesign + Lizenzen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Markteintritt EU/US — nur CN-Fokus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Q1 2027 CN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Entfall EU/US Potenzial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 strategisch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Kosten-Risiko-Matrix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Umsatzpotenzial 5J.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FTO-Kosten 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Verletzungsrisiko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Netto-NPV (geschätzt)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 (Lizenz)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48 Mio. EU + 22 Mio. 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6,2 Mio.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35,4 Mio.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 (Klage)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44 Mio. EU + 18 Mio. 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4,1 Mio. + Verletzungsrisiko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28–38 Mio.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 (Redesign)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40 Mio. EU + 22 Mio. 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7,8 Mio.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NIEDRIG-MITTEL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30,2 Mio.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 (CN only)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15 Mio. CN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2,1 Mio.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 (CN)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 9,6 Mio.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Detailbewertung Szenario A (Empfehlung der Kanzlei)</w:t>
      </w:r>
    </w:p>
    <w:p>
      <w:pPr>
        <w:pStyle w:val="Heading3"/>
      </w:pPr>
      <w:r>
        <w:rPr>
          <w:rFonts w:ascii="Times New Roman" w:hAnsi="Times New Roman"/>
        </w:rPr>
        <w:t>Lizenz Vellbruck EP 3 218 922 B1</w:t>
      </w:r>
    </w:p>
    <w:p>
      <w:pPr>
        <w:jc w:val="left"/>
      </w:pPr>
      <w:r>
        <w:t>Erwartete Lizenzkonditionen nach laufenden Verhandlungen (Stand 15.04.2026):</w:t>
      </w:r>
    </w:p>
    <w:p>
      <w:pPr>
        <w:pStyle w:val="ListBullet"/>
      </w:pPr>
      <w:r>
        <w:t>Lizenzsatz: 2,5–3,0 % Nettoumsatz DE/EU</w:t>
      </w:r>
    </w:p>
    <w:p>
      <w:pPr>
        <w:pStyle w:val="ListBullet"/>
      </w:pPr>
      <w:r>
        <w:t>Mindestlizenzgebühr: EUR 90.000–150.000/Jahr</w:t>
      </w:r>
    </w:p>
    <w:p>
      <w:pPr>
        <w:pStyle w:val="ListBullet"/>
      </w:pPr>
      <w:r>
        <w:t>Geografische Reichweite: Alle EP-Validierungsstaaten</w:t>
      </w:r>
    </w:p>
    <w:p>
      <w:pPr>
        <w:pStyle w:val="ListBullet"/>
      </w:pPr>
      <w:r>
        <w:t>Laufzeit: bis 25.05.2038</w:t>
      </w:r>
    </w:p>
    <w:p>
      <w:pPr>
        <w:jc w:val="left"/>
      </w:pPr>
      <w:r>
        <w:t>Cashflow-Auswirkung bei 3 % Lizenzsatz und EUR 16 Mio. EU-Jahresumsatz ab 2027: EUR 480.000/Jahr. Kumuliert 2026–2038 (bei Wachstum): ca. EUR 5,8 Mio.</w:t>
      </w:r>
    </w:p>
    <w:p>
      <w:pPr>
        <w:pStyle w:val="Heading3"/>
      </w:pPr>
      <w:r>
        <w:rPr>
          <w:rFonts w:ascii="Times New Roman" w:hAnsi="Times New Roman"/>
        </w:rPr>
        <w:t>Lizenz Vestas US 10 612 514 B2 + US 11 002 248 B2</w:t>
      </w:r>
    </w:p>
    <w:p>
      <w:pPr>
        <w:jc w:val="left"/>
      </w:pPr>
      <w:r>
        <w:t>US-Verhandlungsstrategie: Vestas ist Hauptwettbewerber auf EU-Markt, aber hat am US-Markt geringere Marktanteile als GE. Vestas lizenziert selten aktiv. Alternative: IPR-Verfahren (Inter Partes Review) USPTO als Druckmittel vor Vestas-Lizenzverhandlungen.</w:t>
      </w:r>
    </w:p>
    <w:p>
      <w:pPr>
        <w:jc w:val="left"/>
      </w:pPr>
      <w:r>
        <w:t>Erwartete US-Lizenzbedingungen: 2–3 % US-Nettoumsatz. US-Marktvolumen IceFree v3 (Prognose 2027–2030): ca. USD 22 Mio. → Lizenzkosten USD 440.000–660.000.</w:t>
      </w:r>
    </w:p>
    <w:p>
      <w:pPr>
        <w:pStyle w:val="Heading2"/>
      </w:pPr>
      <w:r>
        <w:rPr>
          <w:rFonts w:ascii="Times New Roman" w:hAnsi="Times New Roman"/>
        </w:rPr>
        <w:t>5. Empfehlung der Kanzlei Stadter &amp; Eppendorfer</w:t>
      </w:r>
    </w:p>
    <w:p>
      <w:pPr>
        <w:jc w:val="left"/>
      </w:pPr>
      <w:r>
        <w:rPr>
          <w:b/>
        </w:rPr>
        <w:t>Strategie A ist die empfohlene Primärstrategie.</w:t>
      </w:r>
    </w:p>
    <w:p>
      <w:pPr>
        <w:jc w:val="left"/>
      </w:pPr>
      <w:r>
        <w:t>Begründung:</w:t>
      </w:r>
    </w:p>
    <w:p>
      <w:pPr>
        <w:pStyle w:val="ListNumber"/>
      </w:pPr>
      <w:r>
        <w:t>Höchste Planungssicherheit — Markteintritt Q3 2026 wie geplant möglich.</w:t>
      </w:r>
    </w:p>
    <w:p>
      <w:pPr>
        <w:pStyle w:val="ListNumber"/>
      </w:pPr>
      <w:r>
        <w:t>Lizenzkosten sind im Verhältnis zum Umsatzpotenzial tragbar (3 % Marge-Impact auf EUR 16 Mio. = EUR 480.000/Jahr; vertretbar bei geschätzter EBIT-Marge von 18 %).</w:t>
      </w:r>
    </w:p>
    <w:p>
      <w:pPr>
        <w:pStyle w:val="ListNumber"/>
      </w:pPr>
      <w:r>
        <w:t>Parallel: Nichtigkeitsklage BPatG vorbereiten und nach Lizenzabschluss strategisch prüfen (Lizenzvertrag schließt Nichtigkeitsklage nicht zwingend aus, wenn Klausel entsprechend gestaltet ist).</w:t>
      </w:r>
    </w:p>
    <w:p>
      <w:pPr>
        <w:pStyle w:val="ListNumber"/>
      </w:pPr>
      <w:r>
        <w:t>Eigenes Patent-Portfolio des Mandanten (DE 10 2022 134 511 A1 + EP 22 834 190.2) beschleunigt verfolgen — schafft Verhandlungsmasse für Kreuzlizenz mit Vestas.</w:t>
      </w:r>
    </w:p>
    <w:p>
      <w:pPr>
        <w:jc w:val="left"/>
      </w:pPr>
      <w:r>
        <w:rPr>
          <w:b/>
        </w:rPr>
        <w:t>Handlungsauftrag Vorstand:</w:t>
      </w:r>
    </w:p>
    <w:p>
      <w:pPr>
        <w:pStyle w:val="ListBullet"/>
      </w:pPr>
      <w:r>
        <w:t>Genehmigung der Lizenzverhandlungsführung mit Vellbruck und Vestas durch die Kanzlei.</w:t>
      </w:r>
    </w:p>
    <w:p>
      <w:pPr>
        <w:pStyle w:val="ListBullet"/>
      </w:pPr>
      <w:r>
        <w:t>Freigabe Verhandlungsbudget EUR 500.000 (Lizenzgebühren Anlaufphase + Anwaltskosten).</w:t>
      </w:r>
    </w:p>
    <w:p>
      <w:pPr>
        <w:pStyle w:val="ListBullet"/>
      </w:pPr>
      <w:r>
        <w:t>Entscheidung über Beauftragung SV Prof. Lammers für Nichtigkeitsklage-Vorbereitung (EUR 12.000).</w:t>
      </w:r>
    </w:p>
    <w:p>
      <w:pPr>
        <w:pStyle w:val="ListBullet"/>
      </w:pPr>
      <w:r>
        <w:t>Freigabe Beschleunigung Patentverfahren DE 10 2022 134 511 A1 (EPA-Beschleunigungsantrag).</w:t>
      </w:r>
    </w:p>
    <w:p>
      <w:pPr>
        <w:pStyle w:val="Heading2"/>
      </w:pPr>
      <w:r>
        <w:rPr>
          <w:rFonts w:ascii="Times New Roman" w:hAnsi="Times New Roman"/>
        </w:rPr>
        <w:t>6. Zeitplan bis Markteintritt Q3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Vorstandsbeschluss Strategie 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Verhandlungsgespräch 2 Vellbruck (Oldenburg)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Lizenzvertragsentwurf Vellbruck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Einigung Lizenzvertrag Vellbruck (Ziel)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Beginn Vestas-Lizenz-Sondierung USA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Serienproduktionsstart IceFree v3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Lieferungen (Markteinführung DE)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Geplanter Markteintritt USA</w:t>
            </w:r>
          </w:p>
        </w:tc>
      </w:tr>
    </w:tbl>
    <w:p>
      <w:pPr>
        <w:jc w:val="left"/>
      </w:pPr>
      <w:r>
        <w:t>Quellen: dejure.org — § 139 PatG | dejure.org — § 24 PatG | DPMA BPatG | EPO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