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Risikoanalyse 2026 – Musterholding GmbH</w:t>
      </w:r>
    </w:p>
    <w:p>
      <w:pPr>
        <w:jc w:val="left"/>
      </w:pPr>
      <w:r>
        <w:rPr>
          <w:b/>
        </w:rPr>
        <w:t>Dokument-Nr.:</w:t>
      </w:r>
      <w:r>
        <w:t xml:space="preserve"> RA-MH-2026-02</w:t>
      </w:r>
    </w:p>
    <w:p>
      <w:pPr>
        <w:jc w:val="left"/>
      </w:pPr>
      <w:r>
        <w:rPr>
          <w:b/>
        </w:rPr>
        <w:t>Version:</w:t>
      </w:r>
      <w:r>
        <w:t xml:space="preserve"> 2.0 (ersetzt Version 1.0 vom 15.03.2024)</w:t>
      </w:r>
    </w:p>
    <w:p>
      <w:pPr>
        <w:jc w:val="left"/>
      </w:pPr>
      <w:r>
        <w:rPr>
          <w:b/>
        </w:rPr>
        <w:t>Erstellt von:</w:t>
      </w:r>
      <w:r>
        <w:t xml:space="preserve"> Thomas Eckhardt (Geldwäschebeauftragter), unter Mitwirkung von RA Dr. Franziska Heller</w:t>
      </w:r>
    </w:p>
    <w:p>
      <w:pPr>
        <w:jc w:val="left"/>
      </w:pPr>
      <w:r>
        <w:rPr>
          <w:b/>
        </w:rPr>
        <w:t>Genehmigt durch:</w:t>
      </w:r>
      <w:r>
        <w:t xml:space="preserve"> Klaus-Dieter Brenner, Sabine Wollner (Geschäftsführung)</w:t>
      </w:r>
    </w:p>
    <w:p>
      <w:pPr>
        <w:jc w:val="left"/>
      </w:pPr>
      <w:r>
        <w:rPr>
          <w:b/>
        </w:rPr>
        <w:t>Datum Genehmigung:</w:t>
      </w:r>
      <w:r>
        <w:t xml:space="preserve"> 15.05.2026</w:t>
      </w:r>
    </w:p>
    <w:p>
      <w:pPr>
        <w:jc w:val="left"/>
      </w:pPr>
      <w:r>
        <w:rPr>
          <w:b/>
        </w:rPr>
        <w:t>Nächste Überprüfung:</w:t>
      </w:r>
      <w:r>
        <w:t xml:space="preserve"> 15.05.2027 (oder anlassbezogen)</w:t>
      </w:r>
    </w:p>
    <w:p>
      <w:pPr>
        <w:jc w:val="left"/>
      </w:pPr>
      <w:r>
        <w:rPr>
          <w:b/>
        </w:rPr>
        <w:t>Rechtsgrundlage:</w:t>
      </w:r>
      <w:r>
        <w:t xml:space="preserve"> § 5 GwG, § 6 GwG, FATF-Empfehlungen 2023</w:t>
      </w:r>
    </w:p>
    <w:p/>
    <w:p>
      <w:pPr>
        <w:pStyle w:val="Heading2"/>
      </w:pPr>
      <w:r>
        <w:rPr>
          <w:rFonts w:ascii="Times New Roman" w:hAnsi="Times New Roman"/>
        </w:rPr>
        <w:t>1. Zweck und Anwendungsbereich</w:t>
      </w:r>
    </w:p>
    <w:p>
      <w:pPr>
        <w:jc w:val="left"/>
      </w:pPr>
      <w:r>
        <w:t>Diese Risikoanalyse beschreibt die spezifischen Risiken der Geldwäsche (ML) und der Terrorismusfinanzierung (TF), denen die Musterholding GmbH und ihre Tochtergesellschaft Musterholding Immobilien GmbH ausgesetzt sind. Sie bildet die Grundlage für alle internen Sicherungsmaßnahmen nach § 6 GwG und ist bindend für alle Geschäftsbereiche.</w:t>
      </w:r>
    </w:p>
    <w:p>
      <w:pPr>
        <w:jc w:val="left"/>
      </w:pPr>
      <w:r>
        <w:t>Gegenstand der Analyse sind die Risikokategorien Kundenrisiko, geografisches Risiko, Produkt-/Dienstleistungsrisiko, Vertriebskanalrisiko und Transaktionsrisiko. Die Bewertung erfolgt nach einer standardisierten Risikomatrix (Eintrittswahrscheinlichkeit × Schadensausmaß; Skala 1–5).</w:t>
      </w:r>
    </w:p>
    <w:p/>
    <w:p>
      <w:pPr>
        <w:pStyle w:val="Heading2"/>
      </w:pPr>
      <w:r>
        <w:rPr>
          <w:rFonts w:ascii="Times New Roman" w:hAnsi="Times New Roman"/>
        </w:rPr>
        <w:t>2. Übersicht Geschäftsbereiche und Risikoexposition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Geschäftsbereich</w:t>
            </w:r>
          </w:p>
        </w:tc>
        <w:tc>
          <w:tcPr>
            <w:tcW w:type="dxa" w:w="2268"/>
          </w:tcPr>
          <w:p>
            <w:r>
              <w:rPr>
                <w:rFonts w:ascii="Times New Roman" w:hAnsi="Times New Roman"/>
                <w:b/>
                <w:sz w:val="20"/>
              </w:rPr>
              <w:t>GwG-Tatbestand</w:t>
            </w:r>
          </w:p>
        </w:tc>
        <w:tc>
          <w:tcPr>
            <w:tcW w:type="dxa" w:w="2268"/>
          </w:tcPr>
          <w:p>
            <w:r>
              <w:rPr>
                <w:rFonts w:ascii="Times New Roman" w:hAnsi="Times New Roman"/>
                <w:b/>
                <w:sz w:val="20"/>
              </w:rPr>
              <w:t>Risikoniveau</w:t>
            </w:r>
          </w:p>
        </w:tc>
        <w:tc>
          <w:tcPr>
            <w:tcW w:type="dxa" w:w="2268"/>
          </w:tcPr>
          <w:p>
            <w:r>
              <w:rPr>
                <w:rFonts w:ascii="Times New Roman" w:hAnsi="Times New Roman"/>
                <w:b/>
                <w:sz w:val="20"/>
              </w:rPr>
              <w:t>Anmerkung</w:t>
            </w:r>
          </w:p>
        </w:tc>
      </w:tr>
      <w:tr>
        <w:tc>
          <w:tcPr>
            <w:tcW w:type="dxa" w:w="2268"/>
          </w:tcPr>
          <w:p>
            <w:r>
              <w:rPr>
                <w:rFonts w:ascii="Times New Roman" w:hAnsi="Times New Roman"/>
                <w:sz w:val="20"/>
              </w:rPr>
              <w:t>Industriekomponenten-Handel (bargeldlos)</w:t>
            </w:r>
          </w:p>
        </w:tc>
        <w:tc>
          <w:tcPr>
            <w:tcW w:type="dxa" w:w="2268"/>
          </w:tcPr>
          <w:p>
            <w:r>
              <w:rPr>
                <w:rFonts w:ascii="Times New Roman" w:hAnsi="Times New Roman"/>
                <w:sz w:val="20"/>
              </w:rPr>
              <w:t>§ 2 Nr. 16 GwG</w:t>
            </w:r>
          </w:p>
        </w:tc>
        <w:tc>
          <w:tcPr>
            <w:tcW w:type="dxa" w:w="2268"/>
          </w:tcPr>
          <w:p>
            <w:r>
              <w:rPr>
                <w:rFonts w:ascii="Times New Roman" w:hAnsi="Times New Roman"/>
                <w:sz w:val="20"/>
              </w:rPr>
              <w:t>Mittel</w:t>
            </w:r>
          </w:p>
        </w:tc>
        <w:tc>
          <w:tcPr>
            <w:tcW w:type="dxa" w:w="2268"/>
          </w:tcPr>
          <w:p>
            <w:r>
              <w:rPr>
                <w:rFonts w:ascii="Times New Roman" w:hAnsi="Times New Roman"/>
                <w:sz w:val="20"/>
              </w:rPr>
              <w:t>Internationale Vertriebspartner</w:t>
            </w:r>
          </w:p>
        </w:tc>
      </w:tr>
      <w:tr>
        <w:tc>
          <w:tcPr>
            <w:tcW w:type="dxa" w:w="2268"/>
          </w:tcPr>
          <w:p>
            <w:r>
              <w:rPr>
                <w:rFonts w:ascii="Times New Roman" w:hAnsi="Times New Roman"/>
                <w:sz w:val="20"/>
              </w:rPr>
              <w:t>Edelmetall-/Ersatzteilhandel (mit Barzahlungen)</w:t>
            </w:r>
          </w:p>
        </w:tc>
        <w:tc>
          <w:tcPr>
            <w:tcW w:type="dxa" w:w="2268"/>
          </w:tcPr>
          <w:p>
            <w:r>
              <w:rPr>
                <w:rFonts w:ascii="Times New Roman" w:hAnsi="Times New Roman"/>
                <w:sz w:val="20"/>
              </w:rPr>
              <w:t>§ 2 Nr. 16 GwG</w:t>
            </w:r>
          </w:p>
        </w:tc>
        <w:tc>
          <w:tcPr>
            <w:tcW w:type="dxa" w:w="2268"/>
          </w:tcPr>
          <w:p>
            <w:r>
              <w:rPr>
                <w:rFonts w:ascii="Times New Roman" w:hAnsi="Times New Roman"/>
                <w:sz w:val="20"/>
              </w:rPr>
              <w:t>Hoch</w:t>
            </w:r>
          </w:p>
        </w:tc>
        <w:tc>
          <w:tcPr>
            <w:tcW w:type="dxa" w:w="2268"/>
          </w:tcPr>
          <w:p>
            <w:r>
              <w:rPr>
                <w:rFonts w:ascii="Times New Roman" w:hAnsi="Times New Roman"/>
                <w:sz w:val="20"/>
              </w:rPr>
              <w:t>Bargeldtransaktionen &gt;10.000 EUR möglich</w:t>
            </w:r>
          </w:p>
        </w:tc>
      </w:tr>
      <w:tr>
        <w:tc>
          <w:tcPr>
            <w:tcW w:type="dxa" w:w="2268"/>
          </w:tcPr>
          <w:p>
            <w:r>
              <w:rPr>
                <w:rFonts w:ascii="Times New Roman" w:hAnsi="Times New Roman"/>
                <w:sz w:val="20"/>
              </w:rPr>
              <w:t>Handelsagenturen (Kommission, Drittländer)</w:t>
            </w:r>
          </w:p>
        </w:tc>
        <w:tc>
          <w:tcPr>
            <w:tcW w:type="dxa" w:w="2268"/>
          </w:tcPr>
          <w:p>
            <w:r>
              <w:rPr>
                <w:rFonts w:ascii="Times New Roman" w:hAnsi="Times New Roman"/>
                <w:sz w:val="20"/>
              </w:rPr>
              <w:t>§ 2 Nr. 16 GwG</w:t>
            </w:r>
          </w:p>
        </w:tc>
        <w:tc>
          <w:tcPr>
            <w:tcW w:type="dxa" w:w="2268"/>
          </w:tcPr>
          <w:p>
            <w:r>
              <w:rPr>
                <w:rFonts w:ascii="Times New Roman" w:hAnsi="Times New Roman"/>
                <w:sz w:val="20"/>
              </w:rPr>
              <w:t>Hoch</w:t>
            </w:r>
          </w:p>
        </w:tc>
        <w:tc>
          <w:tcPr>
            <w:tcW w:type="dxa" w:w="2268"/>
          </w:tcPr>
          <w:p>
            <w:r>
              <w:rPr>
                <w:rFonts w:ascii="Times New Roman" w:hAnsi="Times New Roman"/>
                <w:sz w:val="20"/>
              </w:rPr>
              <w:t>Intransparenz, Provisionsstrukturen</w:t>
            </w:r>
          </w:p>
        </w:tc>
      </w:tr>
      <w:tr>
        <w:tc>
          <w:tcPr>
            <w:tcW w:type="dxa" w:w="2268"/>
          </w:tcPr>
          <w:p>
            <w:r>
              <w:rPr>
                <w:rFonts w:ascii="Times New Roman" w:hAnsi="Times New Roman"/>
                <w:sz w:val="20"/>
              </w:rPr>
              <w:t>Immobilienverwaltung (Tochter)</w:t>
            </w:r>
          </w:p>
        </w:tc>
        <w:tc>
          <w:tcPr>
            <w:tcW w:type="dxa" w:w="2268"/>
          </w:tcPr>
          <w:p>
            <w:r>
              <w:rPr>
                <w:rFonts w:ascii="Times New Roman" w:hAnsi="Times New Roman"/>
                <w:sz w:val="20"/>
              </w:rPr>
              <w:t>§ 2 Nr. 14 GwG</w:t>
            </w:r>
          </w:p>
        </w:tc>
        <w:tc>
          <w:tcPr>
            <w:tcW w:type="dxa" w:w="2268"/>
          </w:tcPr>
          <w:p>
            <w:r>
              <w:rPr>
                <w:rFonts w:ascii="Times New Roman" w:hAnsi="Times New Roman"/>
                <w:sz w:val="20"/>
              </w:rPr>
              <w:t>Mittel</w:t>
            </w:r>
          </w:p>
        </w:tc>
        <w:tc>
          <w:tcPr>
            <w:tcW w:type="dxa" w:w="2268"/>
          </w:tcPr>
          <w:p>
            <w:r>
              <w:rPr>
                <w:rFonts w:ascii="Times New Roman" w:hAnsi="Times New Roman"/>
                <w:sz w:val="20"/>
              </w:rPr>
              <w:t>Mieter-KYC erforderlich</w:t>
            </w:r>
          </w:p>
        </w:tc>
      </w:tr>
      <w:tr>
        <w:tc>
          <w:tcPr>
            <w:tcW w:type="dxa" w:w="2268"/>
          </w:tcPr>
          <w:p>
            <w:r>
              <w:rPr>
                <w:rFonts w:ascii="Times New Roman" w:hAnsi="Times New Roman"/>
                <w:sz w:val="20"/>
              </w:rPr>
              <w:t>Immobilientransaktionen (Tochter)</w:t>
            </w:r>
          </w:p>
        </w:tc>
        <w:tc>
          <w:tcPr>
            <w:tcW w:type="dxa" w:w="2268"/>
          </w:tcPr>
          <w:p>
            <w:r>
              <w:rPr>
                <w:rFonts w:ascii="Times New Roman" w:hAnsi="Times New Roman"/>
                <w:sz w:val="20"/>
              </w:rPr>
              <w:t>§ 2 Nr. 14 GwG</w:t>
            </w:r>
          </w:p>
        </w:tc>
        <w:tc>
          <w:tcPr>
            <w:tcW w:type="dxa" w:w="2268"/>
          </w:tcPr>
          <w:p>
            <w:r>
              <w:rPr>
                <w:rFonts w:ascii="Times New Roman" w:hAnsi="Times New Roman"/>
                <w:sz w:val="20"/>
              </w:rPr>
              <w:t>Hoch</w:t>
            </w:r>
          </w:p>
        </w:tc>
        <w:tc>
          <w:tcPr>
            <w:tcW w:type="dxa" w:w="2268"/>
          </w:tcPr>
          <w:p>
            <w:r>
              <w:rPr>
                <w:rFonts w:ascii="Times New Roman" w:hAnsi="Times New Roman"/>
                <w:sz w:val="20"/>
              </w:rPr>
              <w:t>Einzeltransaktionen hoher Wert</w:t>
            </w:r>
          </w:p>
        </w:tc>
      </w:tr>
    </w:tbl>
    <w:p/>
    <w:p>
      <w:pPr>
        <w:pStyle w:val="Heading2"/>
      </w:pPr>
      <w:r>
        <w:rPr>
          <w:rFonts w:ascii="Times New Roman" w:hAnsi="Times New Roman"/>
        </w:rPr>
        <w:t>3. Risikokategorie A: Kundenrisiken</w:t>
      </w:r>
    </w:p>
    <w:p>
      <w:pPr>
        <w:pStyle w:val="Heading3"/>
      </w:pPr>
      <w:r>
        <w:rPr>
          <w:rFonts w:ascii="Times New Roman" w:hAnsi="Times New Roman"/>
        </w:rPr>
        <w:t>3.1 Kundensegmentierung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Segment</w:t>
            </w:r>
          </w:p>
        </w:tc>
        <w:tc>
          <w:tcPr>
            <w:tcW w:type="dxa" w:w="2268"/>
          </w:tcPr>
          <w:p>
            <w:r>
              <w:rPr>
                <w:rFonts w:ascii="Times New Roman" w:hAnsi="Times New Roman"/>
                <w:b/>
                <w:sz w:val="20"/>
              </w:rPr>
              <w:t>Beschreibung</w:t>
            </w:r>
          </w:p>
        </w:tc>
        <w:tc>
          <w:tcPr>
            <w:tcW w:type="dxa" w:w="2268"/>
          </w:tcPr>
          <w:p>
            <w:r>
              <w:rPr>
                <w:rFonts w:ascii="Times New Roman" w:hAnsi="Times New Roman"/>
                <w:b/>
                <w:sz w:val="20"/>
              </w:rPr>
              <w:t>Anteil Umsatz</w:t>
            </w:r>
          </w:p>
        </w:tc>
        <w:tc>
          <w:tcPr>
            <w:tcW w:type="dxa" w:w="2268"/>
          </w:tcPr>
          <w:p>
            <w:r>
              <w:rPr>
                <w:rFonts w:ascii="Times New Roman" w:hAnsi="Times New Roman"/>
                <w:b/>
                <w:sz w:val="20"/>
              </w:rPr>
              <w:t>Risikoeinstufung</w:t>
            </w:r>
          </w:p>
        </w:tc>
      </w:tr>
      <w:tr>
        <w:tc>
          <w:tcPr>
            <w:tcW w:type="dxa" w:w="2268"/>
          </w:tcPr>
          <w:p>
            <w:r>
              <w:rPr>
                <w:rFonts w:ascii="Times New Roman" w:hAnsi="Times New Roman"/>
                <w:sz w:val="20"/>
              </w:rPr>
              <w:t>Inländische Industriekunden</w:t>
            </w:r>
          </w:p>
        </w:tc>
        <w:tc>
          <w:tcPr>
            <w:tcW w:type="dxa" w:w="2268"/>
          </w:tcPr>
          <w:p>
            <w:r>
              <w:rPr>
                <w:rFonts w:ascii="Times New Roman" w:hAnsi="Times New Roman"/>
                <w:sz w:val="20"/>
              </w:rPr>
              <w:t>Etablierte Großkunden DE/EU, langjährige Beziehung</w:t>
            </w:r>
          </w:p>
        </w:tc>
        <w:tc>
          <w:tcPr>
            <w:tcW w:type="dxa" w:w="2268"/>
          </w:tcPr>
          <w:p>
            <w:r>
              <w:rPr>
                <w:rFonts w:ascii="Times New Roman" w:hAnsi="Times New Roman"/>
                <w:sz w:val="20"/>
              </w:rPr>
              <w:t>55 %</w:t>
            </w:r>
          </w:p>
        </w:tc>
        <w:tc>
          <w:tcPr>
            <w:tcW w:type="dxa" w:w="2268"/>
          </w:tcPr>
          <w:p>
            <w:r>
              <w:rPr>
                <w:rFonts w:ascii="Times New Roman" w:hAnsi="Times New Roman"/>
                <w:sz w:val="20"/>
              </w:rPr>
              <w:t>Niedrig</w:t>
            </w:r>
          </w:p>
        </w:tc>
      </w:tr>
      <w:tr>
        <w:tc>
          <w:tcPr>
            <w:tcW w:type="dxa" w:w="2268"/>
          </w:tcPr>
          <w:p>
            <w:r>
              <w:rPr>
                <w:rFonts w:ascii="Times New Roman" w:hAnsi="Times New Roman"/>
                <w:sz w:val="20"/>
              </w:rPr>
              <w:t>EU-Handelskunden (etabliert)</w:t>
            </w:r>
          </w:p>
        </w:tc>
        <w:tc>
          <w:tcPr>
            <w:tcW w:type="dxa" w:w="2268"/>
          </w:tcPr>
          <w:p>
            <w:r>
              <w:rPr>
                <w:rFonts w:ascii="Times New Roman" w:hAnsi="Times New Roman"/>
                <w:sz w:val="20"/>
              </w:rPr>
              <w:t>Bestandskunden Westeuropa, &gt;3 Jahre Beziehung</w:t>
            </w:r>
          </w:p>
        </w:tc>
        <w:tc>
          <w:tcPr>
            <w:tcW w:type="dxa" w:w="2268"/>
          </w:tcPr>
          <w:p>
            <w:r>
              <w:rPr>
                <w:rFonts w:ascii="Times New Roman" w:hAnsi="Times New Roman"/>
                <w:sz w:val="20"/>
              </w:rPr>
              <w:t>20 %</w:t>
            </w:r>
          </w:p>
        </w:tc>
        <w:tc>
          <w:tcPr>
            <w:tcW w:type="dxa" w:w="2268"/>
          </w:tcPr>
          <w:p>
            <w:r>
              <w:rPr>
                <w:rFonts w:ascii="Times New Roman" w:hAnsi="Times New Roman"/>
                <w:sz w:val="20"/>
              </w:rPr>
              <w:t>Niedrig–Mittel</w:t>
            </w:r>
          </w:p>
        </w:tc>
      </w:tr>
      <w:tr>
        <w:tc>
          <w:tcPr>
            <w:tcW w:type="dxa" w:w="2268"/>
          </w:tcPr>
          <w:p>
            <w:r>
              <w:rPr>
                <w:rFonts w:ascii="Times New Roman" w:hAnsi="Times New Roman"/>
                <w:sz w:val="20"/>
              </w:rPr>
              <w:t>Neue EU-Handelskunden</w:t>
            </w:r>
          </w:p>
        </w:tc>
        <w:tc>
          <w:tcPr>
            <w:tcW w:type="dxa" w:w="2268"/>
          </w:tcPr>
          <w:p>
            <w:r>
              <w:rPr>
                <w:rFonts w:ascii="Times New Roman" w:hAnsi="Times New Roman"/>
                <w:sz w:val="20"/>
              </w:rPr>
              <w:t>Erstgeschäfte, keine Vorhistorie</w:t>
            </w:r>
          </w:p>
        </w:tc>
        <w:tc>
          <w:tcPr>
            <w:tcW w:type="dxa" w:w="2268"/>
          </w:tcPr>
          <w:p>
            <w:r>
              <w:rPr>
                <w:rFonts w:ascii="Times New Roman" w:hAnsi="Times New Roman"/>
                <w:sz w:val="20"/>
              </w:rPr>
              <w:t>10 %</w:t>
            </w:r>
          </w:p>
        </w:tc>
        <w:tc>
          <w:tcPr>
            <w:tcW w:type="dxa" w:w="2268"/>
          </w:tcPr>
          <w:p>
            <w:r>
              <w:rPr>
                <w:rFonts w:ascii="Times New Roman" w:hAnsi="Times New Roman"/>
                <w:sz w:val="20"/>
              </w:rPr>
              <w:t>Mittel</w:t>
            </w:r>
          </w:p>
        </w:tc>
      </w:tr>
      <w:tr>
        <w:tc>
          <w:tcPr>
            <w:tcW w:type="dxa" w:w="2268"/>
          </w:tcPr>
          <w:p>
            <w:r>
              <w:rPr>
                <w:rFonts w:ascii="Times New Roman" w:hAnsi="Times New Roman"/>
                <w:sz w:val="20"/>
              </w:rPr>
              <w:t>Nicht-EU-Distributoren</w:t>
            </w:r>
          </w:p>
        </w:tc>
        <w:tc>
          <w:tcPr>
            <w:tcW w:type="dxa" w:w="2268"/>
          </w:tcPr>
          <w:p>
            <w:r>
              <w:rPr>
                <w:rFonts w:ascii="Times New Roman" w:hAnsi="Times New Roman"/>
                <w:sz w:val="20"/>
              </w:rPr>
              <w:t>Südosteuropa, MENA, Asien</w:t>
            </w:r>
          </w:p>
        </w:tc>
        <w:tc>
          <w:tcPr>
            <w:tcW w:type="dxa" w:w="2268"/>
          </w:tcPr>
          <w:p>
            <w:r>
              <w:rPr>
                <w:rFonts w:ascii="Times New Roman" w:hAnsi="Times New Roman"/>
                <w:sz w:val="20"/>
              </w:rPr>
              <w:t>12 %</w:t>
            </w:r>
          </w:p>
        </w:tc>
        <w:tc>
          <w:tcPr>
            <w:tcW w:type="dxa" w:w="2268"/>
          </w:tcPr>
          <w:p>
            <w:r>
              <w:rPr>
                <w:rFonts w:ascii="Times New Roman" w:hAnsi="Times New Roman"/>
                <w:sz w:val="20"/>
              </w:rPr>
              <w:t>Hoch</w:t>
            </w:r>
          </w:p>
        </w:tc>
      </w:tr>
      <w:tr>
        <w:tc>
          <w:tcPr>
            <w:tcW w:type="dxa" w:w="2268"/>
          </w:tcPr>
          <w:p>
            <w:r>
              <w:rPr>
                <w:rFonts w:ascii="Times New Roman" w:hAnsi="Times New Roman"/>
                <w:sz w:val="20"/>
              </w:rPr>
              <w:t>Privatkunden Ersatzteile (Barzahlung)</w:t>
            </w:r>
          </w:p>
        </w:tc>
        <w:tc>
          <w:tcPr>
            <w:tcW w:type="dxa" w:w="2268"/>
          </w:tcPr>
          <w:p>
            <w:r>
              <w:rPr>
                <w:rFonts w:ascii="Times New Roman" w:hAnsi="Times New Roman"/>
                <w:sz w:val="20"/>
              </w:rPr>
              <w:t>Einzeltransaktionen, keine Langfristbeziehung</w:t>
            </w:r>
          </w:p>
        </w:tc>
        <w:tc>
          <w:tcPr>
            <w:tcW w:type="dxa" w:w="2268"/>
          </w:tcPr>
          <w:p>
            <w:r>
              <w:rPr>
                <w:rFonts w:ascii="Times New Roman" w:hAnsi="Times New Roman"/>
                <w:sz w:val="20"/>
              </w:rPr>
              <w:t>3 %</w:t>
            </w:r>
          </w:p>
        </w:tc>
        <w:tc>
          <w:tcPr>
            <w:tcW w:type="dxa" w:w="2268"/>
          </w:tcPr>
          <w:p>
            <w:r>
              <w:rPr>
                <w:rFonts w:ascii="Times New Roman" w:hAnsi="Times New Roman"/>
                <w:sz w:val="20"/>
              </w:rPr>
              <w:t>Hoch</w:t>
            </w:r>
          </w:p>
        </w:tc>
      </w:tr>
    </w:tbl>
    <w:p>
      <w:pPr>
        <w:pStyle w:val="Heading3"/>
      </w:pPr>
      <w:r>
        <w:rPr>
          <w:rFonts w:ascii="Times New Roman" w:hAnsi="Times New Roman"/>
        </w:rPr>
        <w:t>3.2 Risikoindikatoren Kunden</w:t>
      </w:r>
    </w:p>
    <w:p>
      <w:pPr>
        <w:jc w:val="left"/>
      </w:pPr>
      <w:r>
        <w:t>Erhöhtes Risiko besteht insbesondere bei:</w:t>
      </w:r>
    </w:p>
    <w:p>
      <w:pPr>
        <w:pStyle w:val="ListBullet"/>
      </w:pPr>
      <w:r>
        <w:t>Unklarer wirtschaftlich Berechtigter (UBO) oder Offshore-Holding als Gesellschafter</w:t>
      </w:r>
    </w:p>
    <w:p>
      <w:pPr>
        <w:pStyle w:val="ListBullet"/>
      </w:pPr>
      <w:r>
        <w:t>Verwendung von Briefkastengesellschaften (Shell Companies) in Niedrigsteuerländern</w:t>
      </w:r>
    </w:p>
    <w:p>
      <w:pPr>
        <w:pStyle w:val="ListBullet"/>
      </w:pPr>
      <w:r>
        <w:t>PEP-Status oder politische Verbindungen des Inhabers oder Geschäftsführers</w:t>
      </w:r>
    </w:p>
    <w:p>
      <w:pPr>
        <w:pStyle w:val="ListBullet"/>
      </w:pPr>
      <w:r>
        <w:t>Drittzahlungen ohne nachvollziehbaren Grund</w:t>
      </w:r>
    </w:p>
    <w:p>
      <w:pPr>
        <w:pStyle w:val="ListBullet"/>
      </w:pPr>
      <w:r>
        <w:t>Kunden aus FATF-Hochrisikoländern (aktuelle Graue oder Schwarze Liste)</w:t>
      </w:r>
    </w:p>
    <w:p>
      <w:pPr>
        <w:pStyle w:val="ListBullet"/>
      </w:pPr>
      <w:r>
        <w:t>Unerklärlich hohe Transaktionsvolumina für das Unternehmensprofil</w:t>
      </w:r>
    </w:p>
    <w:p>
      <w:pPr>
        <w:pStyle w:val="ListBullet"/>
      </w:pPr>
      <w:r>
        <w:t>Zeitdruck oder Drängen auf beschleunigte Zahlungsfreigabe</w:t>
      </w:r>
    </w:p>
    <w:p/>
    <w:p>
      <w:pPr>
        <w:pStyle w:val="Heading2"/>
      </w:pPr>
      <w:r>
        <w:rPr>
          <w:rFonts w:ascii="Times New Roman" w:hAnsi="Times New Roman"/>
        </w:rPr>
        <w:t>4. Risikokategorie B: Geografische Risiken</w:t>
      </w:r>
    </w:p>
    <w:p>
      <w:pPr>
        <w:pStyle w:val="Heading3"/>
      </w:pPr>
      <w:r>
        <w:rPr>
          <w:rFonts w:ascii="Times New Roman" w:hAnsi="Times New Roman"/>
        </w:rPr>
        <w:t>4.1 Länderrisiko-Matrix</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Land / Region</w:t>
            </w:r>
          </w:p>
        </w:tc>
        <w:tc>
          <w:tcPr>
            <w:tcW w:type="dxa" w:w="3024"/>
          </w:tcPr>
          <w:p>
            <w:r>
              <w:rPr>
                <w:rFonts w:ascii="Times New Roman" w:hAnsi="Times New Roman"/>
                <w:b/>
                <w:sz w:val="20"/>
              </w:rPr>
              <w:t>Risikoniveau</w:t>
            </w:r>
          </w:p>
        </w:tc>
        <w:tc>
          <w:tcPr>
            <w:tcW w:type="dxa" w:w="3024"/>
          </w:tcPr>
          <w:p>
            <w:r>
              <w:rPr>
                <w:rFonts w:ascii="Times New Roman" w:hAnsi="Times New Roman"/>
                <w:b/>
                <w:sz w:val="20"/>
              </w:rPr>
              <w:t>Grundlage</w:t>
            </w:r>
          </w:p>
        </w:tc>
      </w:tr>
      <w:tr>
        <w:tc>
          <w:tcPr>
            <w:tcW w:type="dxa" w:w="3024"/>
          </w:tcPr>
          <w:p>
            <w:r>
              <w:rPr>
                <w:rFonts w:ascii="Times New Roman" w:hAnsi="Times New Roman"/>
                <w:sz w:val="20"/>
              </w:rPr>
              <w:t>Deutschland, Österreich, Schweiz</w:t>
            </w:r>
          </w:p>
        </w:tc>
        <w:tc>
          <w:tcPr>
            <w:tcW w:type="dxa" w:w="3024"/>
          </w:tcPr>
          <w:p>
            <w:r>
              <w:rPr>
                <w:rFonts w:ascii="Times New Roman" w:hAnsi="Times New Roman"/>
                <w:sz w:val="20"/>
              </w:rPr>
              <w:t>Niedrig</w:t>
            </w:r>
          </w:p>
        </w:tc>
        <w:tc>
          <w:tcPr>
            <w:tcW w:type="dxa" w:w="3024"/>
          </w:tcPr>
          <w:p>
            <w:r>
              <w:rPr>
                <w:rFonts w:ascii="Times New Roman" w:hAnsi="Times New Roman"/>
                <w:sz w:val="20"/>
              </w:rPr>
              <w:t>FATF-konform, EU-AML-Richtlinie</w:t>
            </w:r>
          </w:p>
        </w:tc>
      </w:tr>
      <w:tr>
        <w:tc>
          <w:tcPr>
            <w:tcW w:type="dxa" w:w="3024"/>
          </w:tcPr>
          <w:p>
            <w:r>
              <w:rPr>
                <w:rFonts w:ascii="Times New Roman" w:hAnsi="Times New Roman"/>
                <w:sz w:val="20"/>
              </w:rPr>
              <w:t>Westeuropa (EU-Kernländer)</w:t>
            </w:r>
          </w:p>
        </w:tc>
        <w:tc>
          <w:tcPr>
            <w:tcW w:type="dxa" w:w="3024"/>
          </w:tcPr>
          <w:p>
            <w:r>
              <w:rPr>
                <w:rFonts w:ascii="Times New Roman" w:hAnsi="Times New Roman"/>
                <w:sz w:val="20"/>
              </w:rPr>
              <w:t>Niedrig</w:t>
            </w:r>
          </w:p>
        </w:tc>
        <w:tc>
          <w:tcPr>
            <w:tcW w:type="dxa" w:w="3024"/>
          </w:tcPr>
          <w:p>
            <w:r>
              <w:rPr>
                <w:rFonts w:ascii="Times New Roman" w:hAnsi="Times New Roman"/>
                <w:sz w:val="20"/>
              </w:rPr>
              <w:t>FATF-konform</w:t>
            </w:r>
          </w:p>
        </w:tc>
      </w:tr>
      <w:tr>
        <w:tc>
          <w:tcPr>
            <w:tcW w:type="dxa" w:w="3024"/>
          </w:tcPr>
          <w:p>
            <w:r>
              <w:rPr>
                <w:rFonts w:ascii="Times New Roman" w:hAnsi="Times New Roman"/>
                <w:sz w:val="20"/>
              </w:rPr>
              <w:t>Osteuropa (Polen, Tschechien, Slowakei)</w:t>
            </w:r>
          </w:p>
        </w:tc>
        <w:tc>
          <w:tcPr>
            <w:tcW w:type="dxa" w:w="3024"/>
          </w:tcPr>
          <w:p>
            <w:r>
              <w:rPr>
                <w:rFonts w:ascii="Times New Roman" w:hAnsi="Times New Roman"/>
                <w:sz w:val="20"/>
              </w:rPr>
              <w:t>Niedrig–Mittel</w:t>
            </w:r>
          </w:p>
        </w:tc>
        <w:tc>
          <w:tcPr>
            <w:tcW w:type="dxa" w:w="3024"/>
          </w:tcPr>
          <w:p>
            <w:r>
              <w:rPr>
                <w:rFonts w:ascii="Times New Roman" w:hAnsi="Times New Roman"/>
                <w:sz w:val="20"/>
              </w:rPr>
              <w:t>EU-Mitglieder, Transparenzrahmen</w:t>
            </w:r>
          </w:p>
        </w:tc>
      </w:tr>
      <w:tr>
        <w:tc>
          <w:tcPr>
            <w:tcW w:type="dxa" w:w="3024"/>
          </w:tcPr>
          <w:p>
            <w:r>
              <w:rPr>
                <w:rFonts w:ascii="Times New Roman" w:hAnsi="Times New Roman"/>
                <w:sz w:val="20"/>
              </w:rPr>
              <w:t>Rumänien, Bulgarien, Ungarn</w:t>
            </w:r>
          </w:p>
        </w:tc>
        <w:tc>
          <w:tcPr>
            <w:tcW w:type="dxa" w:w="3024"/>
          </w:tcPr>
          <w:p>
            <w:r>
              <w:rPr>
                <w:rFonts w:ascii="Times New Roman" w:hAnsi="Times New Roman"/>
                <w:sz w:val="20"/>
              </w:rPr>
              <w:t>Mittel</w:t>
            </w:r>
          </w:p>
        </w:tc>
        <w:tc>
          <w:tcPr>
            <w:tcW w:type="dxa" w:w="3024"/>
          </w:tcPr>
          <w:p>
            <w:r>
              <w:rPr>
                <w:rFonts w:ascii="Times New Roman" w:hAnsi="Times New Roman"/>
                <w:sz w:val="20"/>
              </w:rPr>
              <w:t>EU-Mitglieder, aber erhöhte Korruptionsindizes</w:t>
            </w:r>
          </w:p>
        </w:tc>
      </w:tr>
      <w:tr>
        <w:tc>
          <w:tcPr>
            <w:tcW w:type="dxa" w:w="3024"/>
          </w:tcPr>
          <w:p>
            <w:r>
              <w:rPr>
                <w:rFonts w:ascii="Times New Roman" w:hAnsi="Times New Roman"/>
                <w:sz w:val="20"/>
              </w:rPr>
              <w:t>Zypern, Malta (EU-Offshore)</w:t>
            </w:r>
          </w:p>
        </w:tc>
        <w:tc>
          <w:tcPr>
            <w:tcW w:type="dxa" w:w="3024"/>
          </w:tcPr>
          <w:p>
            <w:r>
              <w:rPr>
                <w:rFonts w:ascii="Times New Roman" w:hAnsi="Times New Roman"/>
                <w:sz w:val="20"/>
              </w:rPr>
              <w:t>Hoch</w:t>
            </w:r>
          </w:p>
        </w:tc>
        <w:tc>
          <w:tcPr>
            <w:tcW w:type="dxa" w:w="3024"/>
          </w:tcPr>
          <w:p>
            <w:r>
              <w:rPr>
                <w:rFonts w:ascii="Times New Roman" w:hAnsi="Times New Roman"/>
                <w:sz w:val="20"/>
              </w:rPr>
              <w:t>Hohe Offshore-Aktivität, Durchleitungskonstruktionen</w:t>
            </w:r>
          </w:p>
        </w:tc>
      </w:tr>
      <w:tr>
        <w:tc>
          <w:tcPr>
            <w:tcW w:type="dxa" w:w="3024"/>
          </w:tcPr>
          <w:p>
            <w:r>
              <w:rPr>
                <w:rFonts w:ascii="Times New Roman" w:hAnsi="Times New Roman"/>
                <w:sz w:val="20"/>
              </w:rPr>
              <w:t>Westbalkan (Serbien, Bosnien)</w:t>
            </w:r>
          </w:p>
        </w:tc>
        <w:tc>
          <w:tcPr>
            <w:tcW w:type="dxa" w:w="3024"/>
          </w:tcPr>
          <w:p>
            <w:r>
              <w:rPr>
                <w:rFonts w:ascii="Times New Roman" w:hAnsi="Times New Roman"/>
                <w:sz w:val="20"/>
              </w:rPr>
              <w:t>Hoch</w:t>
            </w:r>
          </w:p>
        </w:tc>
        <w:tc>
          <w:tcPr>
            <w:tcW w:type="dxa" w:w="3024"/>
          </w:tcPr>
          <w:p>
            <w:r>
              <w:rPr>
                <w:rFonts w:ascii="Times New Roman" w:hAnsi="Times New Roman"/>
                <w:sz w:val="20"/>
              </w:rPr>
              <w:t>Nicht EU, erhöhte Korruption, Schattenökonomie</w:t>
            </w:r>
          </w:p>
        </w:tc>
      </w:tr>
      <w:tr>
        <w:tc>
          <w:tcPr>
            <w:tcW w:type="dxa" w:w="3024"/>
          </w:tcPr>
          <w:p>
            <w:r>
              <w:rPr>
                <w:rFonts w:ascii="Times New Roman" w:hAnsi="Times New Roman"/>
                <w:sz w:val="20"/>
              </w:rPr>
              <w:t>MENA (allgemein)</w:t>
            </w:r>
          </w:p>
        </w:tc>
        <w:tc>
          <w:tcPr>
            <w:tcW w:type="dxa" w:w="3024"/>
          </w:tcPr>
          <w:p>
            <w:r>
              <w:rPr>
                <w:rFonts w:ascii="Times New Roman" w:hAnsi="Times New Roman"/>
                <w:sz w:val="20"/>
              </w:rPr>
              <w:t>Hoch</w:t>
            </w:r>
          </w:p>
        </w:tc>
        <w:tc>
          <w:tcPr>
            <w:tcW w:type="dxa" w:w="3024"/>
          </w:tcPr>
          <w:p>
            <w:r>
              <w:rPr>
                <w:rFonts w:ascii="Times New Roman" w:hAnsi="Times New Roman"/>
                <w:sz w:val="20"/>
              </w:rPr>
              <w:t>Variabel, einzelne Hochrisikostaaten</w:t>
            </w:r>
          </w:p>
        </w:tc>
      </w:tr>
      <w:tr>
        <w:tc>
          <w:tcPr>
            <w:tcW w:type="dxa" w:w="3024"/>
          </w:tcPr>
          <w:p>
            <w:r>
              <w:rPr>
                <w:rFonts w:ascii="Times New Roman" w:hAnsi="Times New Roman"/>
                <w:sz w:val="20"/>
              </w:rPr>
              <w:t>Russland, Belarus, Iran, Nordkorea</w:t>
            </w:r>
          </w:p>
        </w:tc>
        <w:tc>
          <w:tcPr>
            <w:tcW w:type="dxa" w:w="3024"/>
          </w:tcPr>
          <w:p>
            <w:r>
              <w:rPr>
                <w:rFonts w:ascii="Times New Roman" w:hAnsi="Times New Roman"/>
                <w:sz w:val="20"/>
              </w:rPr>
              <w:t>Sehr hoch / Sanktionen</w:t>
            </w:r>
          </w:p>
        </w:tc>
        <w:tc>
          <w:tcPr>
            <w:tcW w:type="dxa" w:w="3024"/>
          </w:tcPr>
          <w:p>
            <w:r>
              <w:rPr>
                <w:rFonts w:ascii="Times New Roman" w:hAnsi="Times New Roman"/>
                <w:sz w:val="20"/>
              </w:rPr>
              <w:t>EU-Sanktionen, FATF-Listen</w:t>
            </w:r>
          </w:p>
        </w:tc>
      </w:tr>
      <w:tr>
        <w:tc>
          <w:tcPr>
            <w:tcW w:type="dxa" w:w="3024"/>
          </w:tcPr>
          <w:p>
            <w:r>
              <w:rPr>
                <w:rFonts w:ascii="Times New Roman" w:hAnsi="Times New Roman"/>
                <w:sz w:val="20"/>
              </w:rPr>
              <w:t>Vereinigte Arabische Emirate</w:t>
            </w:r>
          </w:p>
        </w:tc>
        <w:tc>
          <w:tcPr>
            <w:tcW w:type="dxa" w:w="3024"/>
          </w:tcPr>
          <w:p>
            <w:r>
              <w:rPr>
                <w:rFonts w:ascii="Times New Roman" w:hAnsi="Times New Roman"/>
                <w:sz w:val="20"/>
              </w:rPr>
              <w:t>Mittel–Hoch</w:t>
            </w:r>
          </w:p>
        </w:tc>
        <w:tc>
          <w:tcPr>
            <w:tcW w:type="dxa" w:w="3024"/>
          </w:tcPr>
          <w:p>
            <w:r>
              <w:rPr>
                <w:rFonts w:ascii="Times New Roman" w:hAnsi="Times New Roman"/>
                <w:sz w:val="20"/>
              </w:rPr>
              <w:t>FATF-Grauer Liste bis 2024 entnommen, Monitoring</w:t>
            </w:r>
          </w:p>
        </w:tc>
      </w:tr>
    </w:tbl>
    <w:p>
      <w:pPr>
        <w:pStyle w:val="Heading3"/>
      </w:pPr>
      <w:r>
        <w:rPr>
          <w:rFonts w:ascii="Times New Roman" w:hAnsi="Times New Roman"/>
        </w:rPr>
        <w:t>4.2 Aktueller Kundenstamm nach Herkunftsland</w:t>
      </w:r>
    </w:p>
    <w:p>
      <w:pPr>
        <w:jc w:val="left"/>
      </w:pPr>
      <w:r>
        <w:t>Im aktuellen Kundenstamm (Stand April 2026) sind 14 Kunden aus Ländern mit erhöhtem Länderrisiko (Rumänien: 6, Serbien: 3, Zypern-ansässige Holdingstrukturen: 4, Malta: 1) verzeichnet. Diese sind vollständig verstärkter Sorgfalt zu unterwerfen.</w:t>
      </w:r>
    </w:p>
    <w:p/>
    <w:p>
      <w:pPr>
        <w:pStyle w:val="Heading2"/>
      </w:pPr>
      <w:r>
        <w:rPr>
          <w:rFonts w:ascii="Times New Roman" w:hAnsi="Times New Roman"/>
        </w:rPr>
        <w:t>5. Risikokategorie C: Produkt- und Transaktionsrisiken</w:t>
      </w:r>
    </w:p>
    <w:p>
      <w:pPr>
        <w:pStyle w:val="Heading3"/>
      </w:pPr>
      <w:r>
        <w:rPr>
          <w:rFonts w:ascii="Times New Roman" w:hAnsi="Times New Roman"/>
        </w:rPr>
        <w:t>5.1 Produktbezogene Risiken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Produkt / Dienstleistung</w:t>
            </w:r>
          </w:p>
        </w:tc>
        <w:tc>
          <w:tcPr>
            <w:tcW w:type="dxa" w:w="3024"/>
          </w:tcPr>
          <w:p>
            <w:r>
              <w:rPr>
                <w:rFonts w:ascii="Times New Roman" w:hAnsi="Times New Roman"/>
                <w:b/>
                <w:sz w:val="20"/>
              </w:rPr>
              <w:t>Risikofaktor</w:t>
            </w:r>
          </w:p>
        </w:tc>
        <w:tc>
          <w:tcPr>
            <w:tcW w:type="dxa" w:w="3024"/>
          </w:tcPr>
          <w:p>
            <w:r>
              <w:rPr>
                <w:rFonts w:ascii="Times New Roman" w:hAnsi="Times New Roman"/>
                <w:b/>
                <w:sz w:val="20"/>
              </w:rPr>
              <w:t>Risikoniveau</w:t>
            </w:r>
          </w:p>
        </w:tc>
      </w:tr>
      <w:tr>
        <w:tc>
          <w:tcPr>
            <w:tcW w:type="dxa" w:w="3024"/>
          </w:tcPr>
          <w:p>
            <w:r>
              <w:rPr>
                <w:rFonts w:ascii="Times New Roman" w:hAnsi="Times New Roman"/>
                <w:sz w:val="20"/>
              </w:rPr>
              <w:t>Hochwertige Industriemaschinen (&gt;100.000 EUR EW)</w:t>
            </w:r>
          </w:p>
        </w:tc>
        <w:tc>
          <w:tcPr>
            <w:tcW w:type="dxa" w:w="3024"/>
          </w:tcPr>
          <w:p>
            <w:r>
              <w:rPr>
                <w:rFonts w:ascii="Times New Roman" w:hAnsi="Times New Roman"/>
                <w:sz w:val="20"/>
              </w:rPr>
              <w:t>Dual-Use-Potential, Export-Compliance</w:t>
            </w:r>
          </w:p>
        </w:tc>
        <w:tc>
          <w:tcPr>
            <w:tcW w:type="dxa" w:w="3024"/>
          </w:tcPr>
          <w:p>
            <w:r>
              <w:rPr>
                <w:rFonts w:ascii="Times New Roman" w:hAnsi="Times New Roman"/>
                <w:sz w:val="20"/>
              </w:rPr>
              <w:t>Hoch</w:t>
            </w:r>
          </w:p>
        </w:tc>
      </w:tr>
      <w:tr>
        <w:tc>
          <w:tcPr>
            <w:tcW w:type="dxa" w:w="3024"/>
          </w:tcPr>
          <w:p>
            <w:r>
              <w:rPr>
                <w:rFonts w:ascii="Times New Roman" w:hAnsi="Times New Roman"/>
                <w:sz w:val="20"/>
              </w:rPr>
              <w:t>Edelmetall-Rohlinge</w:t>
            </w:r>
          </w:p>
        </w:tc>
        <w:tc>
          <w:tcPr>
            <w:tcW w:type="dxa" w:w="3024"/>
          </w:tcPr>
          <w:p>
            <w:r>
              <w:rPr>
                <w:rFonts w:ascii="Times New Roman" w:hAnsi="Times New Roman"/>
                <w:sz w:val="20"/>
              </w:rPr>
              <w:t>Fungibel, wertstabil, schwer rückverfolgbar</w:t>
            </w:r>
          </w:p>
        </w:tc>
        <w:tc>
          <w:tcPr>
            <w:tcW w:type="dxa" w:w="3024"/>
          </w:tcPr>
          <w:p>
            <w:r>
              <w:rPr>
                <w:rFonts w:ascii="Times New Roman" w:hAnsi="Times New Roman"/>
                <w:sz w:val="20"/>
              </w:rPr>
              <w:t>Sehr hoch</w:t>
            </w:r>
          </w:p>
        </w:tc>
      </w:tr>
      <w:tr>
        <w:tc>
          <w:tcPr>
            <w:tcW w:type="dxa" w:w="3024"/>
          </w:tcPr>
          <w:p>
            <w:r>
              <w:rPr>
                <w:rFonts w:ascii="Times New Roman" w:hAnsi="Times New Roman"/>
                <w:sz w:val="20"/>
              </w:rPr>
              <w:t>Ersatzteile (Bargeldverkauf)</w:t>
            </w:r>
          </w:p>
        </w:tc>
        <w:tc>
          <w:tcPr>
            <w:tcW w:type="dxa" w:w="3024"/>
          </w:tcPr>
          <w:p>
            <w:r>
              <w:rPr>
                <w:rFonts w:ascii="Times New Roman" w:hAnsi="Times New Roman"/>
                <w:sz w:val="20"/>
              </w:rPr>
              <w:t>Anonyme Barzahlungen</w:t>
            </w:r>
          </w:p>
        </w:tc>
        <w:tc>
          <w:tcPr>
            <w:tcW w:type="dxa" w:w="3024"/>
          </w:tcPr>
          <w:p>
            <w:r>
              <w:rPr>
                <w:rFonts w:ascii="Times New Roman" w:hAnsi="Times New Roman"/>
                <w:sz w:val="20"/>
              </w:rPr>
              <w:t>Hoch</w:t>
            </w:r>
          </w:p>
        </w:tc>
      </w:tr>
      <w:tr>
        <w:tc>
          <w:tcPr>
            <w:tcW w:type="dxa" w:w="3024"/>
          </w:tcPr>
          <w:p>
            <w:r>
              <w:rPr>
                <w:rFonts w:ascii="Times New Roman" w:hAnsi="Times New Roman"/>
                <w:sz w:val="20"/>
              </w:rPr>
              <w:t>Gewerbeimmobilien-Kauf/-Verkauf</w:t>
            </w:r>
          </w:p>
        </w:tc>
        <w:tc>
          <w:tcPr>
            <w:tcW w:type="dxa" w:w="3024"/>
          </w:tcPr>
          <w:p>
            <w:r>
              <w:rPr>
                <w:rFonts w:ascii="Times New Roman" w:hAnsi="Times New Roman"/>
                <w:sz w:val="20"/>
              </w:rPr>
              <w:t>Hohe Transaktionswerte, Bewertungsmanipulation</w:t>
            </w:r>
          </w:p>
        </w:tc>
        <w:tc>
          <w:tcPr>
            <w:tcW w:type="dxa" w:w="3024"/>
          </w:tcPr>
          <w:p>
            <w:r>
              <w:rPr>
                <w:rFonts w:ascii="Times New Roman" w:hAnsi="Times New Roman"/>
                <w:sz w:val="20"/>
              </w:rPr>
              <w:t>Hoch</w:t>
            </w:r>
          </w:p>
        </w:tc>
      </w:tr>
      <w:tr>
        <w:tc>
          <w:tcPr>
            <w:tcW w:type="dxa" w:w="3024"/>
          </w:tcPr>
          <w:p>
            <w:r>
              <w:rPr>
                <w:rFonts w:ascii="Times New Roman" w:hAnsi="Times New Roman"/>
                <w:sz w:val="20"/>
              </w:rPr>
              <w:t>Handelsagentur-Provisionen</w:t>
            </w:r>
          </w:p>
        </w:tc>
        <w:tc>
          <w:tcPr>
            <w:tcW w:type="dxa" w:w="3024"/>
          </w:tcPr>
          <w:p>
            <w:r>
              <w:rPr>
                <w:rFonts w:ascii="Times New Roman" w:hAnsi="Times New Roman"/>
                <w:sz w:val="20"/>
              </w:rPr>
              <w:t>Intransparenz, Drittland-Überweisungen</w:t>
            </w:r>
          </w:p>
        </w:tc>
        <w:tc>
          <w:tcPr>
            <w:tcW w:type="dxa" w:w="3024"/>
          </w:tcPr>
          <w:p>
            <w:r>
              <w:rPr>
                <w:rFonts w:ascii="Times New Roman" w:hAnsi="Times New Roman"/>
                <w:sz w:val="20"/>
              </w:rPr>
              <w:t>Mittel–Hoch</w:t>
            </w:r>
          </w:p>
        </w:tc>
      </w:tr>
    </w:tbl>
    <w:p>
      <w:pPr>
        <w:pStyle w:val="Heading3"/>
      </w:pPr>
      <w:r>
        <w:rPr>
          <w:rFonts w:ascii="Times New Roman" w:hAnsi="Times New Roman"/>
        </w:rPr>
        <w:t>5.2 Transaktionsrisiken</w:t>
      </w:r>
    </w:p>
    <w:p>
      <w:pPr>
        <w:jc w:val="left"/>
      </w:pPr>
      <w:r>
        <w:t>Besondere Verdachtsmomente:</w:t>
      </w:r>
    </w:p>
    <w:p>
      <w:pPr>
        <w:pStyle w:val="ListBullet"/>
      </w:pPr>
      <w:r>
        <w:t>Barzahlungen über 10.000 EUR ohne nachvollziehbaren Geschäftszweck</w:t>
      </w:r>
    </w:p>
    <w:p>
      <w:pPr>
        <w:pStyle w:val="ListBullet"/>
      </w:pPr>
      <w:r>
        <w:t>Zahlungen von Dritten, die nicht Vertragspartner sind (Drittzahlungsrisiko)</w:t>
      </w:r>
    </w:p>
    <w:p>
      <w:pPr>
        <w:pStyle w:val="ListBullet"/>
      </w:pPr>
      <w:r>
        <w:t>Ungewöhnlich hohe Anzahlungen (&gt;50 % des Auftragswertes)</w:t>
      </w:r>
    </w:p>
    <w:p>
      <w:pPr>
        <w:pStyle w:val="ListBullet"/>
      </w:pPr>
      <w:r>
        <w:t>Häufige Transaktionen knapp unterhalb der Meldeschwelle (Structuring)</w:t>
      </w:r>
    </w:p>
    <w:p>
      <w:pPr>
        <w:pStyle w:val="ListBullet"/>
      </w:pPr>
      <w:r>
        <w:t>Zahlungen über unregulierte Zahlungsdienstleister oder Kryptowährungen</w:t>
      </w:r>
    </w:p>
    <w:p/>
    <w:p>
      <w:pPr>
        <w:pStyle w:val="Heading2"/>
      </w:pPr>
      <w:r>
        <w:rPr>
          <w:rFonts w:ascii="Times New Roman" w:hAnsi="Times New Roman"/>
        </w:rPr>
        <w:t>6. Risikokategorie D: Vertriebskanalrisiken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Vertriebskanal</w:t>
            </w:r>
          </w:p>
        </w:tc>
        <w:tc>
          <w:tcPr>
            <w:tcW w:type="dxa" w:w="3024"/>
          </w:tcPr>
          <w:p>
            <w:r>
              <w:rPr>
                <w:rFonts w:ascii="Times New Roman" w:hAnsi="Times New Roman"/>
                <w:b/>
                <w:sz w:val="20"/>
              </w:rPr>
              <w:t>Beschreibung</w:t>
            </w:r>
          </w:p>
        </w:tc>
        <w:tc>
          <w:tcPr>
            <w:tcW w:type="dxa" w:w="3024"/>
          </w:tcPr>
          <w:p>
            <w:r>
              <w:rPr>
                <w:rFonts w:ascii="Times New Roman" w:hAnsi="Times New Roman"/>
                <w:b/>
                <w:sz w:val="20"/>
              </w:rPr>
              <w:t>Risikobewertung</w:t>
            </w:r>
          </w:p>
        </w:tc>
      </w:tr>
      <w:tr>
        <w:tc>
          <w:tcPr>
            <w:tcW w:type="dxa" w:w="3024"/>
          </w:tcPr>
          <w:p>
            <w:r>
              <w:rPr>
                <w:rFonts w:ascii="Times New Roman" w:hAnsi="Times New Roman"/>
                <w:sz w:val="20"/>
              </w:rPr>
              <w:t>Direktvertrieb Inland</w:t>
            </w:r>
          </w:p>
        </w:tc>
        <w:tc>
          <w:tcPr>
            <w:tcW w:type="dxa" w:w="3024"/>
          </w:tcPr>
          <w:p>
            <w:r>
              <w:rPr>
                <w:rFonts w:ascii="Times New Roman" w:hAnsi="Times New Roman"/>
                <w:sz w:val="20"/>
              </w:rPr>
              <w:t>Persönlicher Kontakt, vollständige KYC-Dokumentation</w:t>
            </w:r>
          </w:p>
        </w:tc>
        <w:tc>
          <w:tcPr>
            <w:tcW w:type="dxa" w:w="3024"/>
          </w:tcPr>
          <w:p>
            <w:r>
              <w:rPr>
                <w:rFonts w:ascii="Times New Roman" w:hAnsi="Times New Roman"/>
                <w:sz w:val="20"/>
              </w:rPr>
              <w:t>Niedrig</w:t>
            </w:r>
          </w:p>
        </w:tc>
      </w:tr>
      <w:tr>
        <w:tc>
          <w:tcPr>
            <w:tcW w:type="dxa" w:w="3024"/>
          </w:tcPr>
          <w:p>
            <w:r>
              <w:rPr>
                <w:rFonts w:ascii="Times New Roman" w:hAnsi="Times New Roman"/>
                <w:sz w:val="20"/>
              </w:rPr>
              <w:t>Handelsagenten EU</w:t>
            </w:r>
          </w:p>
        </w:tc>
        <w:tc>
          <w:tcPr>
            <w:tcW w:type="dxa" w:w="3024"/>
          </w:tcPr>
          <w:p>
            <w:r>
              <w:rPr>
                <w:rFonts w:ascii="Times New Roman" w:hAnsi="Times New Roman"/>
                <w:sz w:val="20"/>
              </w:rPr>
              <w:t>Vertragsgebundene Agenten, gelegentliche Prüfung</w:t>
            </w:r>
          </w:p>
        </w:tc>
        <w:tc>
          <w:tcPr>
            <w:tcW w:type="dxa" w:w="3024"/>
          </w:tcPr>
          <w:p>
            <w:r>
              <w:rPr>
                <w:rFonts w:ascii="Times New Roman" w:hAnsi="Times New Roman"/>
                <w:sz w:val="20"/>
              </w:rPr>
              <w:t>Mittel</w:t>
            </w:r>
          </w:p>
        </w:tc>
      </w:tr>
      <w:tr>
        <w:tc>
          <w:tcPr>
            <w:tcW w:type="dxa" w:w="3024"/>
          </w:tcPr>
          <w:p>
            <w:r>
              <w:rPr>
                <w:rFonts w:ascii="Times New Roman" w:hAnsi="Times New Roman"/>
                <w:sz w:val="20"/>
              </w:rPr>
              <w:t>Handelsagenten Drittländer</w:t>
            </w:r>
          </w:p>
        </w:tc>
        <w:tc>
          <w:tcPr>
            <w:tcW w:type="dxa" w:w="3024"/>
          </w:tcPr>
          <w:p>
            <w:r>
              <w:rPr>
                <w:rFonts w:ascii="Times New Roman" w:hAnsi="Times New Roman"/>
                <w:sz w:val="20"/>
              </w:rPr>
              <w:t>Kommissionsstrukturen, Subagenten</w:t>
            </w:r>
          </w:p>
        </w:tc>
        <w:tc>
          <w:tcPr>
            <w:tcW w:type="dxa" w:w="3024"/>
          </w:tcPr>
          <w:p>
            <w:r>
              <w:rPr>
                <w:rFonts w:ascii="Times New Roman" w:hAnsi="Times New Roman"/>
                <w:sz w:val="20"/>
              </w:rPr>
              <w:t>Hoch</w:t>
            </w:r>
          </w:p>
        </w:tc>
      </w:tr>
      <w:tr>
        <w:tc>
          <w:tcPr>
            <w:tcW w:type="dxa" w:w="3024"/>
          </w:tcPr>
          <w:p>
            <w:r>
              <w:rPr>
                <w:rFonts w:ascii="Times New Roman" w:hAnsi="Times New Roman"/>
                <w:sz w:val="20"/>
              </w:rPr>
              <w:t>Online-Anfragen (Kaltakquise)</w:t>
            </w:r>
          </w:p>
        </w:tc>
        <w:tc>
          <w:tcPr>
            <w:tcW w:type="dxa" w:w="3024"/>
          </w:tcPr>
          <w:p>
            <w:r>
              <w:rPr>
                <w:rFonts w:ascii="Times New Roman" w:hAnsi="Times New Roman"/>
                <w:sz w:val="20"/>
              </w:rPr>
              <w:t>Kein persönlicher Kontakt, unbekannte Identität</w:t>
            </w:r>
          </w:p>
        </w:tc>
        <w:tc>
          <w:tcPr>
            <w:tcW w:type="dxa" w:w="3024"/>
          </w:tcPr>
          <w:p>
            <w:r>
              <w:rPr>
                <w:rFonts w:ascii="Times New Roman" w:hAnsi="Times New Roman"/>
                <w:sz w:val="20"/>
              </w:rPr>
              <w:t>Hoch</w:t>
            </w:r>
          </w:p>
        </w:tc>
      </w:tr>
      <w:tr>
        <w:tc>
          <w:tcPr>
            <w:tcW w:type="dxa" w:w="3024"/>
          </w:tcPr>
          <w:p>
            <w:r>
              <w:rPr>
                <w:rFonts w:ascii="Times New Roman" w:hAnsi="Times New Roman"/>
                <w:sz w:val="20"/>
              </w:rPr>
              <w:t>Vertrieb über Tochtergesellschaft</w:t>
            </w:r>
          </w:p>
        </w:tc>
        <w:tc>
          <w:tcPr>
            <w:tcW w:type="dxa" w:w="3024"/>
          </w:tcPr>
          <w:p>
            <w:r>
              <w:rPr>
                <w:rFonts w:ascii="Times New Roman" w:hAnsi="Times New Roman"/>
                <w:sz w:val="20"/>
              </w:rPr>
              <w:t>Immobilienbereich, separate KYC-Pflicht</w:t>
            </w:r>
          </w:p>
        </w:tc>
        <w:tc>
          <w:tcPr>
            <w:tcW w:type="dxa" w:w="3024"/>
          </w:tcPr>
          <w:p>
            <w:r>
              <w:rPr>
                <w:rFonts w:ascii="Times New Roman" w:hAnsi="Times New Roman"/>
                <w:sz w:val="20"/>
              </w:rPr>
              <w:t>Mittel–Hoch</w:t>
            </w:r>
          </w:p>
        </w:tc>
      </w:tr>
    </w:tbl>
    <w:p/>
    <w:p>
      <w:pPr>
        <w:pStyle w:val="Heading2"/>
      </w:pPr>
      <w:r>
        <w:rPr>
          <w:rFonts w:ascii="Times New Roman" w:hAnsi="Times New Roman"/>
        </w:rPr>
        <w:t>7. Risikomatrix (Gesamtübersicht)</w:t>
      </w:r>
    </w:p>
    <w:p>
      <w:pPr>
        <w:jc w:val="left"/>
      </w:pPr>
      <w:r>
        <w:t xml:space="preserve">Die folgende Matrix bewertet alle identifizierten Risikofelder nach Eintrittswahrscheinlichkeit (EW: 1 = sehr unwahrscheinlich, 5 = sehr wahrscheinlich) und Schadensausmaß (SA: 1 = gering, 5 = sehr schwerwiegend). Das Restrisiko ergibt sich aus EW × SA. Werte ≥ 15 = </w:t>
      </w:r>
      <w:r>
        <w:rPr>
          <w:b/>
        </w:rPr>
        <w:t>Hoch</w:t>
      </w:r>
      <w:r>
        <w:t xml:space="preserve">, 8–14 = </w:t>
      </w:r>
      <w:r>
        <w:rPr>
          <w:b/>
        </w:rPr>
        <w:t>Mittel</w:t>
      </w:r>
      <w:r>
        <w:t xml:space="preserve">, ≤ 7 = </w:t>
      </w:r>
      <w:r>
        <w:rPr>
          <w:b/>
        </w:rPr>
        <w:t>Niedrig</w:t>
      </w:r>
      <w:r>
        <w:t>.</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Nr.</w:t>
            </w:r>
          </w:p>
        </w:tc>
        <w:tc>
          <w:tcPr>
            <w:tcW w:type="dxa" w:w="1296"/>
          </w:tcPr>
          <w:p>
            <w:r>
              <w:rPr>
                <w:rFonts w:ascii="Times New Roman" w:hAnsi="Times New Roman"/>
                <w:b/>
                <w:sz w:val="20"/>
              </w:rPr>
              <w:t>Risikofeld</w:t>
            </w:r>
          </w:p>
        </w:tc>
        <w:tc>
          <w:tcPr>
            <w:tcW w:type="dxa" w:w="1296"/>
          </w:tcPr>
          <w:p>
            <w:r>
              <w:rPr>
                <w:rFonts w:ascii="Times New Roman" w:hAnsi="Times New Roman"/>
                <w:b/>
                <w:sz w:val="20"/>
              </w:rPr>
              <w:t>EW</w:t>
            </w:r>
          </w:p>
        </w:tc>
        <w:tc>
          <w:tcPr>
            <w:tcW w:type="dxa" w:w="1296"/>
          </w:tcPr>
          <w:p>
            <w:r>
              <w:rPr>
                <w:rFonts w:ascii="Times New Roman" w:hAnsi="Times New Roman"/>
                <w:b/>
                <w:sz w:val="20"/>
              </w:rPr>
              <w:t>SA</w:t>
            </w:r>
          </w:p>
        </w:tc>
        <w:tc>
          <w:tcPr>
            <w:tcW w:type="dxa" w:w="1296"/>
          </w:tcPr>
          <w:p>
            <w:r>
              <w:rPr>
                <w:rFonts w:ascii="Times New Roman" w:hAnsi="Times New Roman"/>
                <w:b/>
                <w:sz w:val="20"/>
              </w:rPr>
              <w:t>Restrisiko</w:t>
            </w:r>
          </w:p>
        </w:tc>
        <w:tc>
          <w:tcPr>
            <w:tcW w:type="dxa" w:w="1296"/>
          </w:tcPr>
          <w:p>
            <w:r>
              <w:rPr>
                <w:rFonts w:ascii="Times New Roman" w:hAnsi="Times New Roman"/>
                <w:b/>
                <w:sz w:val="20"/>
              </w:rPr>
              <w:t>Bewertung</w:t>
            </w:r>
          </w:p>
        </w:tc>
        <w:tc>
          <w:tcPr>
            <w:tcW w:type="dxa" w:w="1296"/>
          </w:tcPr>
          <w:p>
            <w:r>
              <w:rPr>
                <w:rFonts w:ascii="Times New Roman" w:hAnsi="Times New Roman"/>
                <w:b/>
                <w:sz w:val="20"/>
              </w:rPr>
              <w:t>Maßnahme</w:t>
            </w:r>
          </w:p>
        </w:tc>
      </w:tr>
      <w:tr>
        <w:tc>
          <w:tcPr>
            <w:tcW w:type="dxa" w:w="1296"/>
          </w:tcPr>
          <w:p>
            <w:r>
              <w:rPr>
                <w:rFonts w:ascii="Times New Roman" w:hAnsi="Times New Roman"/>
                <w:sz w:val="20"/>
              </w:rPr>
              <w:t>R-01</w:t>
            </w:r>
          </w:p>
        </w:tc>
        <w:tc>
          <w:tcPr>
            <w:tcW w:type="dxa" w:w="1296"/>
          </w:tcPr>
          <w:p>
            <w:r>
              <w:rPr>
                <w:rFonts w:ascii="Times New Roman" w:hAnsi="Times New Roman"/>
                <w:sz w:val="20"/>
              </w:rPr>
              <w:t>Bargeldannahme Ersatzteile</w:t>
            </w:r>
          </w:p>
        </w:tc>
        <w:tc>
          <w:tcPr>
            <w:tcW w:type="dxa" w:w="1296"/>
          </w:tcPr>
          <w:p>
            <w:r>
              <w:rPr>
                <w:rFonts w:ascii="Times New Roman" w:hAnsi="Times New Roman"/>
                <w:sz w:val="20"/>
              </w:rPr>
              <w:t>3</w:t>
            </w:r>
          </w:p>
        </w:tc>
        <w:tc>
          <w:tcPr>
            <w:tcW w:type="dxa" w:w="1296"/>
          </w:tcPr>
          <w:p>
            <w:r>
              <w:rPr>
                <w:rFonts w:ascii="Times New Roman" w:hAnsi="Times New Roman"/>
                <w:sz w:val="20"/>
              </w:rPr>
              <w:t>4</w:t>
            </w:r>
          </w:p>
        </w:tc>
        <w:tc>
          <w:tcPr>
            <w:tcW w:type="dxa" w:w="1296"/>
          </w:tcPr>
          <w:p>
            <w:r>
              <w:rPr>
                <w:rFonts w:ascii="Times New Roman" w:hAnsi="Times New Roman"/>
                <w:sz w:val="20"/>
              </w:rPr>
              <w:t>12</w:t>
            </w:r>
          </w:p>
        </w:tc>
        <w:tc>
          <w:tcPr>
            <w:tcW w:type="dxa" w:w="1296"/>
          </w:tcPr>
          <w:p>
            <w:r>
              <w:rPr>
                <w:rFonts w:ascii="Times New Roman" w:hAnsi="Times New Roman"/>
                <w:sz w:val="20"/>
              </w:rPr>
              <w:t>Mittel</w:t>
            </w:r>
          </w:p>
        </w:tc>
        <w:tc>
          <w:tcPr>
            <w:tcW w:type="dxa" w:w="1296"/>
          </w:tcPr>
          <w:p>
            <w:r>
              <w:rPr>
                <w:rFonts w:ascii="Times New Roman" w:hAnsi="Times New Roman"/>
                <w:sz w:val="20"/>
              </w:rPr>
              <w:t>Bargeldobergrenze, vereinfachte KYC nur &lt;10 TEUR</w:t>
            </w:r>
          </w:p>
        </w:tc>
      </w:tr>
      <w:tr>
        <w:tc>
          <w:tcPr>
            <w:tcW w:type="dxa" w:w="1296"/>
          </w:tcPr>
          <w:p>
            <w:r>
              <w:rPr>
                <w:rFonts w:ascii="Times New Roman" w:hAnsi="Times New Roman"/>
                <w:sz w:val="20"/>
              </w:rPr>
              <w:t>R-02</w:t>
            </w:r>
          </w:p>
        </w:tc>
        <w:tc>
          <w:tcPr>
            <w:tcW w:type="dxa" w:w="1296"/>
          </w:tcPr>
          <w:p>
            <w:r>
              <w:rPr>
                <w:rFonts w:ascii="Times New Roman" w:hAnsi="Times New Roman"/>
                <w:sz w:val="20"/>
              </w:rPr>
              <w:t>Edelmetallhandel, Bar</w:t>
            </w:r>
          </w:p>
        </w:tc>
        <w:tc>
          <w:tcPr>
            <w:tcW w:type="dxa" w:w="1296"/>
          </w:tcPr>
          <w:p>
            <w:r>
              <w:rPr>
                <w:rFonts w:ascii="Times New Roman" w:hAnsi="Times New Roman"/>
                <w:sz w:val="20"/>
              </w:rPr>
              <w:t>2</w:t>
            </w:r>
          </w:p>
        </w:tc>
        <w:tc>
          <w:tcPr>
            <w:tcW w:type="dxa" w:w="1296"/>
          </w:tcPr>
          <w:p>
            <w:r>
              <w:rPr>
                <w:rFonts w:ascii="Times New Roman" w:hAnsi="Times New Roman"/>
                <w:sz w:val="20"/>
              </w:rPr>
              <w:t>5</w:t>
            </w:r>
          </w:p>
        </w:tc>
        <w:tc>
          <w:tcPr>
            <w:tcW w:type="dxa" w:w="1296"/>
          </w:tcPr>
          <w:p>
            <w:r>
              <w:rPr>
                <w:rFonts w:ascii="Times New Roman" w:hAnsi="Times New Roman"/>
                <w:sz w:val="20"/>
              </w:rPr>
              <w:t>10</w:t>
            </w:r>
          </w:p>
        </w:tc>
        <w:tc>
          <w:tcPr>
            <w:tcW w:type="dxa" w:w="1296"/>
          </w:tcPr>
          <w:p>
            <w:r>
              <w:rPr>
                <w:rFonts w:ascii="Times New Roman" w:hAnsi="Times New Roman"/>
                <w:sz w:val="20"/>
              </w:rPr>
              <w:t>Mittel</w:t>
            </w:r>
          </w:p>
        </w:tc>
        <w:tc>
          <w:tcPr>
            <w:tcW w:type="dxa" w:w="1296"/>
          </w:tcPr>
          <w:p>
            <w:r>
              <w:rPr>
                <w:rFonts w:ascii="Times New Roman" w:hAnsi="Times New Roman"/>
                <w:sz w:val="20"/>
              </w:rPr>
              <w:t>Verstärkte KYC, Herkunftsnachweis</w:t>
            </w:r>
          </w:p>
        </w:tc>
      </w:tr>
      <w:tr>
        <w:tc>
          <w:tcPr>
            <w:tcW w:type="dxa" w:w="1296"/>
          </w:tcPr>
          <w:p>
            <w:r>
              <w:rPr>
                <w:rFonts w:ascii="Times New Roman" w:hAnsi="Times New Roman"/>
                <w:sz w:val="20"/>
              </w:rPr>
              <w:t>R-03</w:t>
            </w:r>
          </w:p>
        </w:tc>
        <w:tc>
          <w:tcPr>
            <w:tcW w:type="dxa" w:w="1296"/>
          </w:tcPr>
          <w:p>
            <w:r>
              <w:rPr>
                <w:rFonts w:ascii="Times New Roman" w:hAnsi="Times New Roman"/>
                <w:sz w:val="20"/>
              </w:rPr>
              <w:t>Nicht-EU-Distributoren, UBO unklar</w:t>
            </w:r>
          </w:p>
        </w:tc>
        <w:tc>
          <w:tcPr>
            <w:tcW w:type="dxa" w:w="1296"/>
          </w:tcPr>
          <w:p>
            <w:r>
              <w:rPr>
                <w:rFonts w:ascii="Times New Roman" w:hAnsi="Times New Roman"/>
                <w:sz w:val="20"/>
              </w:rPr>
              <w:t>3</w:t>
            </w:r>
          </w:p>
        </w:tc>
        <w:tc>
          <w:tcPr>
            <w:tcW w:type="dxa" w:w="1296"/>
          </w:tcPr>
          <w:p>
            <w:r>
              <w:rPr>
                <w:rFonts w:ascii="Times New Roman" w:hAnsi="Times New Roman"/>
                <w:sz w:val="20"/>
              </w:rPr>
              <w:t>5</w:t>
            </w:r>
          </w:p>
        </w:tc>
        <w:tc>
          <w:tcPr>
            <w:tcW w:type="dxa" w:w="1296"/>
          </w:tcPr>
          <w:p>
            <w:r>
              <w:rPr>
                <w:rFonts w:ascii="Times New Roman" w:hAnsi="Times New Roman"/>
                <w:sz w:val="20"/>
              </w:rPr>
              <w:t>15</w:t>
            </w:r>
          </w:p>
        </w:tc>
        <w:tc>
          <w:tcPr>
            <w:tcW w:type="dxa" w:w="1296"/>
          </w:tcPr>
          <w:p>
            <w:r>
              <w:rPr>
                <w:rFonts w:ascii="Times New Roman" w:hAnsi="Times New Roman"/>
                <w:b/>
                <w:sz w:val="20"/>
              </w:rPr>
              <w:t>Hoch</w:t>
            </w:r>
          </w:p>
        </w:tc>
        <w:tc>
          <w:tcPr>
            <w:tcW w:type="dxa" w:w="1296"/>
          </w:tcPr>
          <w:p>
            <w:r>
              <w:rPr>
                <w:rFonts w:ascii="Times New Roman" w:hAnsi="Times New Roman"/>
                <w:sz w:val="20"/>
              </w:rPr>
              <w:t>Verstärkte Sorgfalt, GF-Genehmigung</w:t>
            </w:r>
          </w:p>
        </w:tc>
      </w:tr>
      <w:tr>
        <w:tc>
          <w:tcPr>
            <w:tcW w:type="dxa" w:w="1296"/>
          </w:tcPr>
          <w:p>
            <w:r>
              <w:rPr>
                <w:rFonts w:ascii="Times New Roman" w:hAnsi="Times New Roman"/>
                <w:sz w:val="20"/>
              </w:rPr>
              <w:t>R-04</w:t>
            </w:r>
          </w:p>
        </w:tc>
        <w:tc>
          <w:tcPr>
            <w:tcW w:type="dxa" w:w="1296"/>
          </w:tcPr>
          <w:p>
            <w:r>
              <w:rPr>
                <w:rFonts w:ascii="Times New Roman" w:hAnsi="Times New Roman"/>
                <w:sz w:val="20"/>
              </w:rPr>
              <w:t>Drittzahlungen ohne Begründung</w:t>
            </w:r>
          </w:p>
        </w:tc>
        <w:tc>
          <w:tcPr>
            <w:tcW w:type="dxa" w:w="1296"/>
          </w:tcPr>
          <w:p>
            <w:r>
              <w:rPr>
                <w:rFonts w:ascii="Times New Roman" w:hAnsi="Times New Roman"/>
                <w:sz w:val="20"/>
              </w:rPr>
              <w:t>2</w:t>
            </w:r>
          </w:p>
        </w:tc>
        <w:tc>
          <w:tcPr>
            <w:tcW w:type="dxa" w:w="1296"/>
          </w:tcPr>
          <w:p>
            <w:r>
              <w:rPr>
                <w:rFonts w:ascii="Times New Roman" w:hAnsi="Times New Roman"/>
                <w:sz w:val="20"/>
              </w:rPr>
              <w:t>5</w:t>
            </w:r>
          </w:p>
        </w:tc>
        <w:tc>
          <w:tcPr>
            <w:tcW w:type="dxa" w:w="1296"/>
          </w:tcPr>
          <w:p>
            <w:r>
              <w:rPr>
                <w:rFonts w:ascii="Times New Roman" w:hAnsi="Times New Roman"/>
                <w:sz w:val="20"/>
              </w:rPr>
              <w:t>10</w:t>
            </w:r>
          </w:p>
        </w:tc>
        <w:tc>
          <w:tcPr>
            <w:tcW w:type="dxa" w:w="1296"/>
          </w:tcPr>
          <w:p>
            <w:r>
              <w:rPr>
                <w:rFonts w:ascii="Times New Roman" w:hAnsi="Times New Roman"/>
                <w:sz w:val="20"/>
              </w:rPr>
              <w:t>Mittel</w:t>
            </w:r>
          </w:p>
        </w:tc>
        <w:tc>
          <w:tcPr>
            <w:tcW w:type="dxa" w:w="1296"/>
          </w:tcPr>
          <w:p>
            <w:r>
              <w:rPr>
                <w:rFonts w:ascii="Times New Roman" w:hAnsi="Times New Roman"/>
                <w:sz w:val="20"/>
              </w:rPr>
              <w:t>Ablehnung oder verstärkte Prüfung</w:t>
            </w:r>
          </w:p>
        </w:tc>
      </w:tr>
      <w:tr>
        <w:tc>
          <w:tcPr>
            <w:tcW w:type="dxa" w:w="1296"/>
          </w:tcPr>
          <w:p>
            <w:r>
              <w:rPr>
                <w:rFonts w:ascii="Times New Roman" w:hAnsi="Times New Roman"/>
                <w:sz w:val="20"/>
              </w:rPr>
              <w:t>R-05</w:t>
            </w:r>
          </w:p>
        </w:tc>
        <w:tc>
          <w:tcPr>
            <w:tcW w:type="dxa" w:w="1296"/>
          </w:tcPr>
          <w:p>
            <w:r>
              <w:rPr>
                <w:rFonts w:ascii="Times New Roman" w:hAnsi="Times New Roman"/>
                <w:sz w:val="20"/>
              </w:rPr>
              <w:t>PEP-Treffer bei Vertragspartnern</w:t>
            </w:r>
          </w:p>
        </w:tc>
        <w:tc>
          <w:tcPr>
            <w:tcW w:type="dxa" w:w="1296"/>
          </w:tcPr>
          <w:p>
            <w:r>
              <w:rPr>
                <w:rFonts w:ascii="Times New Roman" w:hAnsi="Times New Roman"/>
                <w:sz w:val="20"/>
              </w:rPr>
              <w:t>2</w:t>
            </w:r>
          </w:p>
        </w:tc>
        <w:tc>
          <w:tcPr>
            <w:tcW w:type="dxa" w:w="1296"/>
          </w:tcPr>
          <w:p>
            <w:r>
              <w:rPr>
                <w:rFonts w:ascii="Times New Roman" w:hAnsi="Times New Roman"/>
                <w:sz w:val="20"/>
              </w:rPr>
              <w:t>5</w:t>
            </w:r>
          </w:p>
        </w:tc>
        <w:tc>
          <w:tcPr>
            <w:tcW w:type="dxa" w:w="1296"/>
          </w:tcPr>
          <w:p>
            <w:r>
              <w:rPr>
                <w:rFonts w:ascii="Times New Roman" w:hAnsi="Times New Roman"/>
                <w:sz w:val="20"/>
              </w:rPr>
              <w:t>10</w:t>
            </w:r>
          </w:p>
        </w:tc>
        <w:tc>
          <w:tcPr>
            <w:tcW w:type="dxa" w:w="1296"/>
          </w:tcPr>
          <w:p>
            <w:r>
              <w:rPr>
                <w:rFonts w:ascii="Times New Roman" w:hAnsi="Times New Roman"/>
                <w:sz w:val="20"/>
              </w:rPr>
              <w:t>Mittel</w:t>
            </w:r>
          </w:p>
        </w:tc>
        <w:tc>
          <w:tcPr>
            <w:tcW w:type="dxa" w:w="1296"/>
          </w:tcPr>
          <w:p>
            <w:r>
              <w:rPr>
                <w:rFonts w:ascii="Times New Roman" w:hAnsi="Times New Roman"/>
                <w:sz w:val="20"/>
              </w:rPr>
              <w:t>GF-Freigabe, Mittelherkunft</w:t>
            </w:r>
          </w:p>
        </w:tc>
      </w:tr>
      <w:tr>
        <w:tc>
          <w:tcPr>
            <w:tcW w:type="dxa" w:w="1296"/>
          </w:tcPr>
          <w:p>
            <w:r>
              <w:rPr>
                <w:rFonts w:ascii="Times New Roman" w:hAnsi="Times New Roman"/>
                <w:sz w:val="20"/>
              </w:rPr>
              <w:t>R-06</w:t>
            </w:r>
          </w:p>
        </w:tc>
        <w:tc>
          <w:tcPr>
            <w:tcW w:type="dxa" w:w="1296"/>
          </w:tcPr>
          <w:p>
            <w:r>
              <w:rPr>
                <w:rFonts w:ascii="Times New Roman" w:hAnsi="Times New Roman"/>
                <w:sz w:val="20"/>
              </w:rPr>
              <w:t>Offshore-UBO (Zypern, Malta)</w:t>
            </w:r>
          </w:p>
        </w:tc>
        <w:tc>
          <w:tcPr>
            <w:tcW w:type="dxa" w:w="1296"/>
          </w:tcPr>
          <w:p>
            <w:r>
              <w:rPr>
                <w:rFonts w:ascii="Times New Roman" w:hAnsi="Times New Roman"/>
                <w:sz w:val="20"/>
              </w:rPr>
              <w:t>3</w:t>
            </w:r>
          </w:p>
        </w:tc>
        <w:tc>
          <w:tcPr>
            <w:tcW w:type="dxa" w:w="1296"/>
          </w:tcPr>
          <w:p>
            <w:r>
              <w:rPr>
                <w:rFonts w:ascii="Times New Roman" w:hAnsi="Times New Roman"/>
                <w:sz w:val="20"/>
              </w:rPr>
              <w:t>5</w:t>
            </w:r>
          </w:p>
        </w:tc>
        <w:tc>
          <w:tcPr>
            <w:tcW w:type="dxa" w:w="1296"/>
          </w:tcPr>
          <w:p>
            <w:r>
              <w:rPr>
                <w:rFonts w:ascii="Times New Roman" w:hAnsi="Times New Roman"/>
                <w:sz w:val="20"/>
              </w:rPr>
              <w:t>15</w:t>
            </w:r>
          </w:p>
        </w:tc>
        <w:tc>
          <w:tcPr>
            <w:tcW w:type="dxa" w:w="1296"/>
          </w:tcPr>
          <w:p>
            <w:r>
              <w:rPr>
                <w:rFonts w:ascii="Times New Roman" w:hAnsi="Times New Roman"/>
                <w:b/>
                <w:sz w:val="20"/>
              </w:rPr>
              <w:t>Hoch</w:t>
            </w:r>
          </w:p>
        </w:tc>
        <w:tc>
          <w:tcPr>
            <w:tcW w:type="dxa" w:w="1296"/>
          </w:tcPr>
          <w:p>
            <w:r>
              <w:rPr>
                <w:rFonts w:ascii="Times New Roman" w:hAnsi="Times New Roman"/>
                <w:sz w:val="20"/>
              </w:rPr>
              <w:t>Durchdringung Beteiligungsstruktur</w:t>
            </w:r>
          </w:p>
        </w:tc>
      </w:tr>
      <w:tr>
        <w:tc>
          <w:tcPr>
            <w:tcW w:type="dxa" w:w="1296"/>
          </w:tcPr>
          <w:p>
            <w:r>
              <w:rPr>
                <w:rFonts w:ascii="Times New Roman" w:hAnsi="Times New Roman"/>
                <w:sz w:val="20"/>
              </w:rPr>
              <w:t>R-07</w:t>
            </w:r>
          </w:p>
        </w:tc>
        <w:tc>
          <w:tcPr>
            <w:tcW w:type="dxa" w:w="1296"/>
          </w:tcPr>
          <w:p>
            <w:r>
              <w:rPr>
                <w:rFonts w:ascii="Times New Roman" w:hAnsi="Times New Roman"/>
                <w:sz w:val="20"/>
              </w:rPr>
              <w:t>Handelsagenten Drittland</w:t>
            </w:r>
          </w:p>
        </w:tc>
        <w:tc>
          <w:tcPr>
            <w:tcW w:type="dxa" w:w="1296"/>
          </w:tcPr>
          <w:p>
            <w:r>
              <w:rPr>
                <w:rFonts w:ascii="Times New Roman" w:hAnsi="Times New Roman"/>
                <w:sz w:val="20"/>
              </w:rPr>
              <w:t>3</w:t>
            </w:r>
          </w:p>
        </w:tc>
        <w:tc>
          <w:tcPr>
            <w:tcW w:type="dxa" w:w="1296"/>
          </w:tcPr>
          <w:p>
            <w:r>
              <w:rPr>
                <w:rFonts w:ascii="Times New Roman" w:hAnsi="Times New Roman"/>
                <w:sz w:val="20"/>
              </w:rPr>
              <w:t>4</w:t>
            </w:r>
          </w:p>
        </w:tc>
        <w:tc>
          <w:tcPr>
            <w:tcW w:type="dxa" w:w="1296"/>
          </w:tcPr>
          <w:p>
            <w:r>
              <w:rPr>
                <w:rFonts w:ascii="Times New Roman" w:hAnsi="Times New Roman"/>
                <w:sz w:val="20"/>
              </w:rPr>
              <w:t>12</w:t>
            </w:r>
          </w:p>
        </w:tc>
        <w:tc>
          <w:tcPr>
            <w:tcW w:type="dxa" w:w="1296"/>
          </w:tcPr>
          <w:p>
            <w:r>
              <w:rPr>
                <w:rFonts w:ascii="Times New Roman" w:hAnsi="Times New Roman"/>
                <w:sz w:val="20"/>
              </w:rPr>
              <w:t>Mittel</w:t>
            </w:r>
          </w:p>
        </w:tc>
        <w:tc>
          <w:tcPr>
            <w:tcW w:type="dxa" w:w="1296"/>
          </w:tcPr>
          <w:p>
            <w:r>
              <w:rPr>
                <w:rFonts w:ascii="Times New Roman" w:hAnsi="Times New Roman"/>
                <w:sz w:val="20"/>
              </w:rPr>
              <w:t>Agent-Due-Diligence</w:t>
            </w:r>
          </w:p>
        </w:tc>
      </w:tr>
      <w:tr>
        <w:tc>
          <w:tcPr>
            <w:tcW w:type="dxa" w:w="1296"/>
          </w:tcPr>
          <w:p>
            <w:r>
              <w:rPr>
                <w:rFonts w:ascii="Times New Roman" w:hAnsi="Times New Roman"/>
                <w:sz w:val="20"/>
              </w:rPr>
              <w:t>R-08</w:t>
            </w:r>
          </w:p>
        </w:tc>
        <w:tc>
          <w:tcPr>
            <w:tcW w:type="dxa" w:w="1296"/>
          </w:tcPr>
          <w:p>
            <w:r>
              <w:rPr>
                <w:rFonts w:ascii="Times New Roman" w:hAnsi="Times New Roman"/>
                <w:sz w:val="20"/>
              </w:rPr>
              <w:t>Immobilientransaktion Tochter</w:t>
            </w:r>
          </w:p>
        </w:tc>
        <w:tc>
          <w:tcPr>
            <w:tcW w:type="dxa" w:w="1296"/>
          </w:tcPr>
          <w:p>
            <w:r>
              <w:rPr>
                <w:rFonts w:ascii="Times New Roman" w:hAnsi="Times New Roman"/>
                <w:sz w:val="20"/>
              </w:rPr>
              <w:t>2</w:t>
            </w:r>
          </w:p>
        </w:tc>
        <w:tc>
          <w:tcPr>
            <w:tcW w:type="dxa" w:w="1296"/>
          </w:tcPr>
          <w:p>
            <w:r>
              <w:rPr>
                <w:rFonts w:ascii="Times New Roman" w:hAnsi="Times New Roman"/>
                <w:sz w:val="20"/>
              </w:rPr>
              <w:t>5</w:t>
            </w:r>
          </w:p>
        </w:tc>
        <w:tc>
          <w:tcPr>
            <w:tcW w:type="dxa" w:w="1296"/>
          </w:tcPr>
          <w:p>
            <w:r>
              <w:rPr>
                <w:rFonts w:ascii="Times New Roman" w:hAnsi="Times New Roman"/>
                <w:sz w:val="20"/>
              </w:rPr>
              <w:t>10</w:t>
            </w:r>
          </w:p>
        </w:tc>
        <w:tc>
          <w:tcPr>
            <w:tcW w:type="dxa" w:w="1296"/>
          </w:tcPr>
          <w:p>
            <w:r>
              <w:rPr>
                <w:rFonts w:ascii="Times New Roman" w:hAnsi="Times New Roman"/>
                <w:sz w:val="20"/>
              </w:rPr>
              <w:t>Mittel</w:t>
            </w:r>
          </w:p>
        </w:tc>
        <w:tc>
          <w:tcPr>
            <w:tcW w:type="dxa" w:w="1296"/>
          </w:tcPr>
          <w:p>
            <w:r>
              <w:rPr>
                <w:rFonts w:ascii="Times New Roman" w:hAnsi="Times New Roman"/>
                <w:sz w:val="20"/>
              </w:rPr>
              <w:t>KYC Käufer/Verkäufer, Notar-Koordination</w:t>
            </w:r>
          </w:p>
        </w:tc>
      </w:tr>
      <w:tr>
        <w:tc>
          <w:tcPr>
            <w:tcW w:type="dxa" w:w="1296"/>
          </w:tcPr>
          <w:p>
            <w:r>
              <w:rPr>
                <w:rFonts w:ascii="Times New Roman" w:hAnsi="Times New Roman"/>
                <w:sz w:val="20"/>
              </w:rPr>
              <w:t>R-09</w:t>
            </w:r>
          </w:p>
        </w:tc>
        <w:tc>
          <w:tcPr>
            <w:tcW w:type="dxa" w:w="1296"/>
          </w:tcPr>
          <w:p>
            <w:r>
              <w:rPr>
                <w:rFonts w:ascii="Times New Roman" w:hAnsi="Times New Roman"/>
                <w:sz w:val="20"/>
              </w:rPr>
              <w:t>Screening-Fehler (False Negative)</w:t>
            </w:r>
          </w:p>
        </w:tc>
        <w:tc>
          <w:tcPr>
            <w:tcW w:type="dxa" w:w="1296"/>
          </w:tcPr>
          <w:p>
            <w:r>
              <w:rPr>
                <w:rFonts w:ascii="Times New Roman" w:hAnsi="Times New Roman"/>
                <w:sz w:val="20"/>
              </w:rPr>
              <w:t>2</w:t>
            </w:r>
          </w:p>
        </w:tc>
        <w:tc>
          <w:tcPr>
            <w:tcW w:type="dxa" w:w="1296"/>
          </w:tcPr>
          <w:p>
            <w:r>
              <w:rPr>
                <w:rFonts w:ascii="Times New Roman" w:hAnsi="Times New Roman"/>
                <w:sz w:val="20"/>
              </w:rPr>
              <w:t>5</w:t>
            </w:r>
          </w:p>
        </w:tc>
        <w:tc>
          <w:tcPr>
            <w:tcW w:type="dxa" w:w="1296"/>
          </w:tcPr>
          <w:p>
            <w:r>
              <w:rPr>
                <w:rFonts w:ascii="Times New Roman" w:hAnsi="Times New Roman"/>
                <w:sz w:val="20"/>
              </w:rPr>
              <w:t>10</w:t>
            </w:r>
          </w:p>
        </w:tc>
        <w:tc>
          <w:tcPr>
            <w:tcW w:type="dxa" w:w="1296"/>
          </w:tcPr>
          <w:p>
            <w:r>
              <w:rPr>
                <w:rFonts w:ascii="Times New Roman" w:hAnsi="Times New Roman"/>
                <w:sz w:val="20"/>
              </w:rPr>
              <w:t>Mittel</w:t>
            </w:r>
          </w:p>
        </w:tc>
        <w:tc>
          <w:tcPr>
            <w:tcW w:type="dxa" w:w="1296"/>
          </w:tcPr>
          <w:p>
            <w:r>
              <w:rPr>
                <w:rFonts w:ascii="Times New Roman" w:hAnsi="Times New Roman"/>
                <w:sz w:val="20"/>
              </w:rPr>
              <w:t>Vier-Augen-Freigabe, Protokollierung</w:t>
            </w:r>
          </w:p>
        </w:tc>
      </w:tr>
      <w:tr>
        <w:tc>
          <w:tcPr>
            <w:tcW w:type="dxa" w:w="1296"/>
          </w:tcPr>
          <w:p>
            <w:r>
              <w:rPr>
                <w:rFonts w:ascii="Times New Roman" w:hAnsi="Times New Roman"/>
                <w:sz w:val="20"/>
              </w:rPr>
              <w:t>R-10</w:t>
            </w:r>
          </w:p>
        </w:tc>
        <w:tc>
          <w:tcPr>
            <w:tcW w:type="dxa" w:w="1296"/>
          </w:tcPr>
          <w:p>
            <w:r>
              <w:rPr>
                <w:rFonts w:ascii="Times New Roman" w:hAnsi="Times New Roman"/>
                <w:sz w:val="20"/>
              </w:rPr>
              <w:t>Sanktionsverstoß (Drittland-Lieferung)</w:t>
            </w:r>
          </w:p>
        </w:tc>
        <w:tc>
          <w:tcPr>
            <w:tcW w:type="dxa" w:w="1296"/>
          </w:tcPr>
          <w:p>
            <w:r>
              <w:rPr>
                <w:rFonts w:ascii="Times New Roman" w:hAnsi="Times New Roman"/>
                <w:sz w:val="20"/>
              </w:rPr>
              <w:t>2</w:t>
            </w:r>
          </w:p>
        </w:tc>
        <w:tc>
          <w:tcPr>
            <w:tcW w:type="dxa" w:w="1296"/>
          </w:tcPr>
          <w:p>
            <w:r>
              <w:rPr>
                <w:rFonts w:ascii="Times New Roman" w:hAnsi="Times New Roman"/>
                <w:sz w:val="20"/>
              </w:rPr>
              <w:t>5</w:t>
            </w:r>
          </w:p>
        </w:tc>
        <w:tc>
          <w:tcPr>
            <w:tcW w:type="dxa" w:w="1296"/>
          </w:tcPr>
          <w:p>
            <w:r>
              <w:rPr>
                <w:rFonts w:ascii="Times New Roman" w:hAnsi="Times New Roman"/>
                <w:sz w:val="20"/>
              </w:rPr>
              <w:t>10</w:t>
            </w:r>
          </w:p>
        </w:tc>
        <w:tc>
          <w:tcPr>
            <w:tcW w:type="dxa" w:w="1296"/>
          </w:tcPr>
          <w:p>
            <w:r>
              <w:rPr>
                <w:rFonts w:ascii="Times New Roman" w:hAnsi="Times New Roman"/>
                <w:sz w:val="20"/>
              </w:rPr>
              <w:t>Mittel</w:t>
            </w:r>
          </w:p>
        </w:tc>
        <w:tc>
          <w:tcPr>
            <w:tcW w:type="dxa" w:w="1296"/>
          </w:tcPr>
          <w:p>
            <w:r>
              <w:rPr>
                <w:rFonts w:ascii="Times New Roman" w:hAnsi="Times New Roman"/>
                <w:sz w:val="20"/>
              </w:rPr>
              <w:t>Export-Compliance-Prüfung</w:t>
            </w:r>
          </w:p>
        </w:tc>
      </w:tr>
      <w:tr>
        <w:tc>
          <w:tcPr>
            <w:tcW w:type="dxa" w:w="1296"/>
          </w:tcPr>
          <w:p>
            <w:r>
              <w:rPr>
                <w:rFonts w:ascii="Times New Roman" w:hAnsi="Times New Roman"/>
                <w:sz w:val="20"/>
              </w:rPr>
              <w:t>R-11</w:t>
            </w:r>
          </w:p>
        </w:tc>
        <w:tc>
          <w:tcPr>
            <w:tcW w:type="dxa" w:w="1296"/>
          </w:tcPr>
          <w:p>
            <w:r>
              <w:rPr>
                <w:rFonts w:ascii="Times New Roman" w:hAnsi="Times New Roman"/>
                <w:sz w:val="20"/>
              </w:rPr>
              <w:t>Transparenzregister-Unstimmigkeit</w:t>
            </w:r>
          </w:p>
        </w:tc>
        <w:tc>
          <w:tcPr>
            <w:tcW w:type="dxa" w:w="1296"/>
          </w:tcPr>
          <w:p>
            <w:r>
              <w:rPr>
                <w:rFonts w:ascii="Times New Roman" w:hAnsi="Times New Roman"/>
                <w:sz w:val="20"/>
              </w:rPr>
              <w:t>3</w:t>
            </w:r>
          </w:p>
        </w:tc>
        <w:tc>
          <w:tcPr>
            <w:tcW w:type="dxa" w:w="1296"/>
          </w:tcPr>
          <w:p>
            <w:r>
              <w:rPr>
                <w:rFonts w:ascii="Times New Roman" w:hAnsi="Times New Roman"/>
                <w:sz w:val="20"/>
              </w:rPr>
              <w:t>3</w:t>
            </w:r>
          </w:p>
        </w:tc>
        <w:tc>
          <w:tcPr>
            <w:tcW w:type="dxa" w:w="1296"/>
          </w:tcPr>
          <w:p>
            <w:r>
              <w:rPr>
                <w:rFonts w:ascii="Times New Roman" w:hAnsi="Times New Roman"/>
                <w:sz w:val="20"/>
              </w:rPr>
              <w:t>9</w:t>
            </w:r>
          </w:p>
        </w:tc>
        <w:tc>
          <w:tcPr>
            <w:tcW w:type="dxa" w:w="1296"/>
          </w:tcPr>
          <w:p>
            <w:r>
              <w:rPr>
                <w:rFonts w:ascii="Times New Roman" w:hAnsi="Times New Roman"/>
                <w:sz w:val="20"/>
              </w:rPr>
              <w:t>Mittel</w:t>
            </w:r>
          </w:p>
        </w:tc>
        <w:tc>
          <w:tcPr>
            <w:tcW w:type="dxa" w:w="1296"/>
          </w:tcPr>
          <w:p>
            <w:r>
              <w:rPr>
                <w:rFonts w:ascii="Times New Roman" w:hAnsi="Times New Roman"/>
                <w:sz w:val="20"/>
              </w:rPr>
              <w:t>Unstimmigkeitsmeldung, Aktualitätsprüfung</w:t>
            </w:r>
          </w:p>
        </w:tc>
      </w:tr>
      <w:tr>
        <w:tc>
          <w:tcPr>
            <w:tcW w:type="dxa" w:w="1296"/>
          </w:tcPr>
          <w:p>
            <w:r>
              <w:rPr>
                <w:rFonts w:ascii="Times New Roman" w:hAnsi="Times New Roman"/>
                <w:sz w:val="20"/>
              </w:rPr>
              <w:t>R-12</w:t>
            </w:r>
          </w:p>
        </w:tc>
        <w:tc>
          <w:tcPr>
            <w:tcW w:type="dxa" w:w="1296"/>
          </w:tcPr>
          <w:p>
            <w:r>
              <w:rPr>
                <w:rFonts w:ascii="Times New Roman" w:hAnsi="Times New Roman"/>
                <w:sz w:val="20"/>
              </w:rPr>
              <w:t>Schulungsdefizit Mitarbeiter</w:t>
            </w:r>
          </w:p>
        </w:tc>
        <w:tc>
          <w:tcPr>
            <w:tcW w:type="dxa" w:w="1296"/>
          </w:tcPr>
          <w:p>
            <w:r>
              <w:rPr>
                <w:rFonts w:ascii="Times New Roman" w:hAnsi="Times New Roman"/>
                <w:sz w:val="20"/>
              </w:rPr>
              <w:t>4</w:t>
            </w:r>
          </w:p>
        </w:tc>
        <w:tc>
          <w:tcPr>
            <w:tcW w:type="dxa" w:w="1296"/>
          </w:tcPr>
          <w:p>
            <w:r>
              <w:rPr>
                <w:rFonts w:ascii="Times New Roman" w:hAnsi="Times New Roman"/>
                <w:sz w:val="20"/>
              </w:rPr>
              <w:t>3</w:t>
            </w:r>
          </w:p>
        </w:tc>
        <w:tc>
          <w:tcPr>
            <w:tcW w:type="dxa" w:w="1296"/>
          </w:tcPr>
          <w:p>
            <w:r>
              <w:rPr>
                <w:rFonts w:ascii="Times New Roman" w:hAnsi="Times New Roman"/>
                <w:sz w:val="20"/>
              </w:rPr>
              <w:t>12</w:t>
            </w:r>
          </w:p>
        </w:tc>
        <w:tc>
          <w:tcPr>
            <w:tcW w:type="dxa" w:w="1296"/>
          </w:tcPr>
          <w:p>
            <w:r>
              <w:rPr>
                <w:rFonts w:ascii="Times New Roman" w:hAnsi="Times New Roman"/>
                <w:sz w:val="20"/>
              </w:rPr>
              <w:t>Mittel</w:t>
            </w:r>
          </w:p>
        </w:tc>
        <w:tc>
          <w:tcPr>
            <w:tcW w:type="dxa" w:w="1296"/>
          </w:tcPr>
          <w:p>
            <w:r>
              <w:rPr>
                <w:rFonts w:ascii="Times New Roman" w:hAnsi="Times New Roman"/>
                <w:sz w:val="20"/>
              </w:rPr>
              <w:t>Jährliche Pflichtschulung, Protokollierung</w:t>
            </w:r>
          </w:p>
        </w:tc>
      </w:tr>
      <w:tr>
        <w:tc>
          <w:tcPr>
            <w:tcW w:type="dxa" w:w="1296"/>
          </w:tcPr>
          <w:p>
            <w:r>
              <w:rPr>
                <w:rFonts w:ascii="Times New Roman" w:hAnsi="Times New Roman"/>
                <w:sz w:val="20"/>
              </w:rPr>
              <w:t>R-13</w:t>
            </w:r>
          </w:p>
        </w:tc>
        <w:tc>
          <w:tcPr>
            <w:tcW w:type="dxa" w:w="1296"/>
          </w:tcPr>
          <w:p>
            <w:r>
              <w:rPr>
                <w:rFonts w:ascii="Times New Roman" w:hAnsi="Times New Roman"/>
                <w:sz w:val="20"/>
              </w:rPr>
              <w:t>Fehlende Verdachtsmeldung (Unterlassen)</w:t>
            </w:r>
          </w:p>
        </w:tc>
        <w:tc>
          <w:tcPr>
            <w:tcW w:type="dxa" w:w="1296"/>
          </w:tcPr>
          <w:p>
            <w:r>
              <w:rPr>
                <w:rFonts w:ascii="Times New Roman" w:hAnsi="Times New Roman"/>
                <w:sz w:val="20"/>
              </w:rPr>
              <w:t>2</w:t>
            </w:r>
          </w:p>
        </w:tc>
        <w:tc>
          <w:tcPr>
            <w:tcW w:type="dxa" w:w="1296"/>
          </w:tcPr>
          <w:p>
            <w:r>
              <w:rPr>
                <w:rFonts w:ascii="Times New Roman" w:hAnsi="Times New Roman"/>
                <w:sz w:val="20"/>
              </w:rPr>
              <w:t>5</w:t>
            </w:r>
          </w:p>
        </w:tc>
        <w:tc>
          <w:tcPr>
            <w:tcW w:type="dxa" w:w="1296"/>
          </w:tcPr>
          <w:p>
            <w:r>
              <w:rPr>
                <w:rFonts w:ascii="Times New Roman" w:hAnsi="Times New Roman"/>
                <w:sz w:val="20"/>
              </w:rPr>
              <w:t>10</w:t>
            </w:r>
          </w:p>
        </w:tc>
        <w:tc>
          <w:tcPr>
            <w:tcW w:type="dxa" w:w="1296"/>
          </w:tcPr>
          <w:p>
            <w:r>
              <w:rPr>
                <w:rFonts w:ascii="Times New Roman" w:hAnsi="Times New Roman"/>
                <w:sz w:val="20"/>
              </w:rPr>
              <w:t>Mittel</w:t>
            </w:r>
          </w:p>
        </w:tc>
        <w:tc>
          <w:tcPr>
            <w:tcW w:type="dxa" w:w="1296"/>
          </w:tcPr>
          <w:p>
            <w:r>
              <w:rPr>
                <w:rFonts w:ascii="Times New Roman" w:hAnsi="Times New Roman"/>
                <w:sz w:val="20"/>
              </w:rPr>
              <w:t>Klare Meldekette, Entscheidungsprotokoll</w:t>
            </w:r>
          </w:p>
        </w:tc>
      </w:tr>
      <w:tr>
        <w:tc>
          <w:tcPr>
            <w:tcW w:type="dxa" w:w="1296"/>
          </w:tcPr>
          <w:p>
            <w:r>
              <w:rPr>
                <w:rFonts w:ascii="Times New Roman" w:hAnsi="Times New Roman"/>
                <w:sz w:val="20"/>
              </w:rPr>
              <w:t>R-14</w:t>
            </w:r>
          </w:p>
        </w:tc>
        <w:tc>
          <w:tcPr>
            <w:tcW w:type="dxa" w:w="1296"/>
          </w:tcPr>
          <w:p>
            <w:r>
              <w:rPr>
                <w:rFonts w:ascii="Times New Roman" w:hAnsi="Times New Roman"/>
                <w:sz w:val="20"/>
              </w:rPr>
              <w:t>Structuring (knapp unter Schwelle)</w:t>
            </w:r>
          </w:p>
        </w:tc>
        <w:tc>
          <w:tcPr>
            <w:tcW w:type="dxa" w:w="1296"/>
          </w:tcPr>
          <w:p>
            <w:r>
              <w:rPr>
                <w:rFonts w:ascii="Times New Roman" w:hAnsi="Times New Roman"/>
                <w:sz w:val="20"/>
              </w:rPr>
              <w:t>2</w:t>
            </w:r>
          </w:p>
        </w:tc>
        <w:tc>
          <w:tcPr>
            <w:tcW w:type="dxa" w:w="1296"/>
          </w:tcPr>
          <w:p>
            <w:r>
              <w:rPr>
                <w:rFonts w:ascii="Times New Roman" w:hAnsi="Times New Roman"/>
                <w:sz w:val="20"/>
              </w:rPr>
              <w:t>4</w:t>
            </w:r>
          </w:p>
        </w:tc>
        <w:tc>
          <w:tcPr>
            <w:tcW w:type="dxa" w:w="1296"/>
          </w:tcPr>
          <w:p>
            <w:r>
              <w:rPr>
                <w:rFonts w:ascii="Times New Roman" w:hAnsi="Times New Roman"/>
                <w:sz w:val="20"/>
              </w:rPr>
              <w:t>8</w:t>
            </w:r>
          </w:p>
        </w:tc>
        <w:tc>
          <w:tcPr>
            <w:tcW w:type="dxa" w:w="1296"/>
          </w:tcPr>
          <w:p>
            <w:r>
              <w:rPr>
                <w:rFonts w:ascii="Times New Roman" w:hAnsi="Times New Roman"/>
                <w:sz w:val="20"/>
              </w:rPr>
              <w:t>Mittel</w:t>
            </w:r>
          </w:p>
        </w:tc>
        <w:tc>
          <w:tcPr>
            <w:tcW w:type="dxa" w:w="1296"/>
          </w:tcPr>
          <w:p>
            <w:r>
              <w:rPr>
                <w:rFonts w:ascii="Times New Roman" w:hAnsi="Times New Roman"/>
                <w:sz w:val="20"/>
              </w:rPr>
              <w:t>Monitoring-Regeln systemseitig</w:t>
            </w:r>
          </w:p>
        </w:tc>
      </w:tr>
      <w:tr>
        <w:tc>
          <w:tcPr>
            <w:tcW w:type="dxa" w:w="1296"/>
          </w:tcPr>
          <w:p>
            <w:r>
              <w:rPr>
                <w:rFonts w:ascii="Times New Roman" w:hAnsi="Times New Roman"/>
                <w:sz w:val="20"/>
              </w:rPr>
              <w:t>R-15</w:t>
            </w:r>
          </w:p>
        </w:tc>
        <w:tc>
          <w:tcPr>
            <w:tcW w:type="dxa" w:w="1296"/>
          </w:tcPr>
          <w:p>
            <w:r>
              <w:rPr>
                <w:rFonts w:ascii="Times New Roman" w:hAnsi="Times New Roman"/>
                <w:sz w:val="20"/>
              </w:rPr>
              <w:t>Kryptowährungs-Zahlungen</w:t>
            </w:r>
          </w:p>
        </w:tc>
        <w:tc>
          <w:tcPr>
            <w:tcW w:type="dxa" w:w="1296"/>
          </w:tcPr>
          <w:p>
            <w:r>
              <w:rPr>
                <w:rFonts w:ascii="Times New Roman" w:hAnsi="Times New Roman"/>
                <w:sz w:val="20"/>
              </w:rPr>
              <w:t>1</w:t>
            </w:r>
          </w:p>
        </w:tc>
        <w:tc>
          <w:tcPr>
            <w:tcW w:type="dxa" w:w="1296"/>
          </w:tcPr>
          <w:p>
            <w:r>
              <w:rPr>
                <w:rFonts w:ascii="Times New Roman" w:hAnsi="Times New Roman"/>
                <w:sz w:val="20"/>
              </w:rPr>
              <w:t>5</w:t>
            </w:r>
          </w:p>
        </w:tc>
        <w:tc>
          <w:tcPr>
            <w:tcW w:type="dxa" w:w="1296"/>
          </w:tcPr>
          <w:p>
            <w:r>
              <w:rPr>
                <w:rFonts w:ascii="Times New Roman" w:hAnsi="Times New Roman"/>
                <w:sz w:val="20"/>
              </w:rPr>
              <w:t>5</w:t>
            </w:r>
          </w:p>
        </w:tc>
        <w:tc>
          <w:tcPr>
            <w:tcW w:type="dxa" w:w="1296"/>
          </w:tcPr>
          <w:p>
            <w:r>
              <w:rPr>
                <w:rFonts w:ascii="Times New Roman" w:hAnsi="Times New Roman"/>
                <w:sz w:val="20"/>
              </w:rPr>
              <w:t>Niedrig</w:t>
            </w:r>
          </w:p>
        </w:tc>
        <w:tc>
          <w:tcPr>
            <w:tcW w:type="dxa" w:w="1296"/>
          </w:tcPr>
          <w:p>
            <w:r>
              <w:rPr>
                <w:rFonts w:ascii="Times New Roman" w:hAnsi="Times New Roman"/>
                <w:sz w:val="20"/>
              </w:rPr>
              <w:t>Richtlinie: keine Akzeptanz</w:t>
            </w:r>
          </w:p>
        </w:tc>
      </w:tr>
    </w:tbl>
    <w:p/>
    <w:p>
      <w:pPr>
        <w:pStyle w:val="Heading2"/>
      </w:pPr>
      <w:r>
        <w:rPr>
          <w:rFonts w:ascii="Times New Roman" w:hAnsi="Times New Roman"/>
        </w:rPr>
        <w:t>8. Bewertung Gesamtrisiko und Residualrisiko</w:t>
      </w:r>
    </w:p>
    <w:p>
      <w:pPr>
        <w:jc w:val="left"/>
      </w:pPr>
      <w:r>
        <w:t xml:space="preserve">Nach Implementierung aller Maßnahmen dieser Risikoanalyse wird das </w:t>
      </w:r>
      <w:r>
        <w:rPr>
          <w:b/>
        </w:rPr>
        <w:t>inhärente Risiko</w:t>
      </w:r>
      <w:r>
        <w:t xml:space="preserve"> (ohne Maßnahmen) wie folgt eingestuft:</w:t>
      </w:r>
    </w:p>
    <w:p>
      <w:pPr>
        <w:pStyle w:val="ListBullet"/>
      </w:pPr>
      <w:r>
        <w:t xml:space="preserve">Güterhandel (bargeldlos): </w:t>
      </w:r>
      <w:r>
        <w:rPr>
          <w:b/>
        </w:rPr>
        <w:t>Mittel</w:t>
      </w:r>
    </w:p>
    <w:p>
      <w:pPr>
        <w:pStyle w:val="ListBullet"/>
      </w:pPr>
      <w:r>
        <w:t xml:space="preserve">Güterhandel (Bargeld, Edelmetalle): </w:t>
      </w:r>
      <w:r>
        <w:rPr>
          <w:b/>
        </w:rPr>
        <w:t>Hoch</w:t>
      </w:r>
    </w:p>
    <w:p>
      <w:pPr>
        <w:pStyle w:val="ListBullet"/>
      </w:pPr>
      <w:r>
        <w:t xml:space="preserve">Distributoren Nicht-EU: </w:t>
      </w:r>
      <w:r>
        <w:rPr>
          <w:b/>
        </w:rPr>
        <w:t>Hoch</w:t>
      </w:r>
    </w:p>
    <w:p>
      <w:pPr>
        <w:pStyle w:val="ListBullet"/>
      </w:pPr>
      <w:r>
        <w:t xml:space="preserve">Immobiliengeschäfte: </w:t>
      </w:r>
      <w:r>
        <w:rPr>
          <w:b/>
        </w:rPr>
        <w:t>Hoch</w:t>
      </w:r>
    </w:p>
    <w:p>
      <w:pPr>
        <w:jc w:val="left"/>
      </w:pPr>
      <w:r>
        <w:t xml:space="preserve">Das </w:t>
      </w:r>
      <w:r>
        <w:rPr>
          <w:b/>
        </w:rPr>
        <w:t>Restrisiko</w:t>
      </w:r>
      <w:r>
        <w:t xml:space="preserve"> nach Umsetzung der Maßnahmen:</w:t>
      </w:r>
    </w:p>
    <w:p>
      <w:pPr>
        <w:pStyle w:val="ListBullet"/>
      </w:pPr>
      <w:r>
        <w:t xml:space="preserve">Güterhandel bargeldlos: </w:t>
      </w:r>
      <w:r>
        <w:rPr>
          <w:b/>
        </w:rPr>
        <w:t>Niedrig</w:t>
      </w:r>
    </w:p>
    <w:p>
      <w:pPr>
        <w:pStyle w:val="ListBullet"/>
      </w:pPr>
      <w:r>
        <w:t xml:space="preserve">Güterhandel Bargeld: </w:t>
      </w:r>
      <w:r>
        <w:rPr>
          <w:b/>
        </w:rPr>
        <w:t>Mittel</w:t>
      </w:r>
    </w:p>
    <w:p>
      <w:pPr>
        <w:pStyle w:val="ListBullet"/>
      </w:pPr>
      <w:r>
        <w:t xml:space="preserve">Distributoren Nicht-EU: </w:t>
      </w:r>
      <w:r>
        <w:rPr>
          <w:b/>
        </w:rPr>
        <w:t>Mittel</w:t>
      </w:r>
      <w:r>
        <w:t xml:space="preserve"> (bei konsequenter KYC)</w:t>
      </w:r>
    </w:p>
    <w:p>
      <w:pPr>
        <w:pStyle w:val="ListBullet"/>
      </w:pPr>
      <w:r>
        <w:t xml:space="preserve">Immobilien: </w:t>
      </w:r>
      <w:r>
        <w:rPr>
          <w:b/>
        </w:rPr>
        <w:t>Mittel</w:t>
      </w:r>
    </w:p>
    <w:p>
      <w:pPr>
        <w:jc w:val="left"/>
      </w:pPr>
      <w:r>
        <w:t xml:space="preserve">Bereiche mit verbleibendem </w:t>
      </w:r>
      <w:r>
        <w:rPr>
          <w:b/>
        </w:rPr>
        <w:t>Hoch</w:t>
      </w:r>
      <w:r>
        <w:t>-Risiko nach Maßnahmen: Keines identifiziert, sofern alle Maßnahmen vollständig umgesetzt werden.</w:t>
      </w:r>
    </w:p>
    <w:p/>
    <w:p>
      <w:pPr>
        <w:pStyle w:val="Heading2"/>
      </w:pPr>
      <w:r>
        <w:rPr>
          <w:rFonts w:ascii="Times New Roman" w:hAnsi="Times New Roman"/>
        </w:rPr>
        <w:t>9. Sonderrisiko Danube Trade Solutions SRL (Anlassfall Mai 2026)</w:t>
      </w:r>
    </w:p>
    <w:p>
      <w:pPr>
        <w:jc w:val="left"/>
      </w:pPr>
      <w:r>
        <w:t>Der aktuell geprüfte Distributor Danube Trade Solutions SRL weist eine Kumulierung von Hochrisikoindikato­ren auf:</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Indikator</w:t>
            </w:r>
          </w:p>
        </w:tc>
        <w:tc>
          <w:tcPr>
            <w:tcW w:type="dxa" w:w="3024"/>
          </w:tcPr>
          <w:p>
            <w:r>
              <w:rPr>
                <w:rFonts w:ascii="Times New Roman" w:hAnsi="Times New Roman"/>
                <w:b/>
                <w:sz w:val="20"/>
              </w:rPr>
              <w:t>Sachverhalt</w:t>
            </w:r>
          </w:p>
        </w:tc>
        <w:tc>
          <w:tcPr>
            <w:tcW w:type="dxa" w:w="3024"/>
          </w:tcPr>
          <w:p>
            <w:r>
              <w:rPr>
                <w:rFonts w:ascii="Times New Roman" w:hAnsi="Times New Roman"/>
                <w:b/>
                <w:sz w:val="20"/>
              </w:rPr>
              <w:t>Risikobewertung</w:t>
            </w:r>
          </w:p>
        </w:tc>
      </w:tr>
      <w:tr>
        <w:tc>
          <w:tcPr>
            <w:tcW w:type="dxa" w:w="3024"/>
          </w:tcPr>
          <w:p>
            <w:r>
              <w:rPr>
                <w:rFonts w:ascii="Times New Roman" w:hAnsi="Times New Roman"/>
                <w:sz w:val="20"/>
              </w:rPr>
              <w:t>Unklarer UBO</w:t>
            </w:r>
          </w:p>
        </w:tc>
        <w:tc>
          <w:tcPr>
            <w:tcW w:type="dxa" w:w="3024"/>
          </w:tcPr>
          <w:p>
            <w:r>
              <w:rPr>
                <w:rFonts w:ascii="Times New Roman" w:hAnsi="Times New Roman"/>
                <w:sz w:val="20"/>
              </w:rPr>
              <w:t>Offshore-Holding (Zypern) ohne Offenlegung natürlicher Personen</w:t>
            </w:r>
          </w:p>
        </w:tc>
        <w:tc>
          <w:tcPr>
            <w:tcW w:type="dxa" w:w="3024"/>
          </w:tcPr>
          <w:p>
            <w:r>
              <w:rPr>
                <w:rFonts w:ascii="Times New Roman" w:hAnsi="Times New Roman"/>
                <w:sz w:val="20"/>
              </w:rPr>
              <w:t>Hoch</w:t>
            </w:r>
          </w:p>
        </w:tc>
      </w:tr>
      <w:tr>
        <w:tc>
          <w:tcPr>
            <w:tcW w:type="dxa" w:w="3024"/>
          </w:tcPr>
          <w:p>
            <w:r>
              <w:rPr>
                <w:rFonts w:ascii="Times New Roman" w:hAnsi="Times New Roman"/>
                <w:sz w:val="20"/>
              </w:rPr>
              <w:t>PEP-Treffer</w:t>
            </w:r>
          </w:p>
        </w:tc>
        <w:tc>
          <w:tcPr>
            <w:tcW w:type="dxa" w:w="3024"/>
          </w:tcPr>
          <w:p>
            <w:r>
              <w:rPr>
                <w:rFonts w:ascii="Times New Roman" w:hAnsi="Times New Roman"/>
                <w:sz w:val="20"/>
              </w:rPr>
              <w:t>GF Andrei Moldovan, Namensähnlichkeit ehem. Minister</w:t>
            </w:r>
          </w:p>
        </w:tc>
        <w:tc>
          <w:tcPr>
            <w:tcW w:type="dxa" w:w="3024"/>
          </w:tcPr>
          <w:p>
            <w:r>
              <w:rPr>
                <w:rFonts w:ascii="Times New Roman" w:hAnsi="Times New Roman"/>
                <w:sz w:val="20"/>
              </w:rPr>
              <w:t>Hoch</w:t>
            </w:r>
          </w:p>
        </w:tc>
      </w:tr>
      <w:tr>
        <w:tc>
          <w:tcPr>
            <w:tcW w:type="dxa" w:w="3024"/>
          </w:tcPr>
          <w:p>
            <w:r>
              <w:rPr>
                <w:rFonts w:ascii="Times New Roman" w:hAnsi="Times New Roman"/>
                <w:sz w:val="20"/>
              </w:rPr>
              <w:t>Drittzahlung</w:t>
            </w:r>
          </w:p>
        </w:tc>
        <w:tc>
          <w:tcPr>
            <w:tcW w:type="dxa" w:w="3024"/>
          </w:tcPr>
          <w:p>
            <w:r>
              <w:rPr>
                <w:rFonts w:ascii="Times New Roman" w:hAnsi="Times New Roman"/>
                <w:sz w:val="20"/>
              </w:rPr>
              <w:t>Erste Zahlung von Adriatic Commerce Ltd. (Malta)</w:t>
            </w:r>
          </w:p>
        </w:tc>
        <w:tc>
          <w:tcPr>
            <w:tcW w:type="dxa" w:w="3024"/>
          </w:tcPr>
          <w:p>
            <w:r>
              <w:rPr>
                <w:rFonts w:ascii="Times New Roman" w:hAnsi="Times New Roman"/>
                <w:sz w:val="20"/>
              </w:rPr>
              <w:t>Hoch</w:t>
            </w:r>
          </w:p>
        </w:tc>
      </w:tr>
      <w:tr>
        <w:tc>
          <w:tcPr>
            <w:tcW w:type="dxa" w:w="3024"/>
          </w:tcPr>
          <w:p>
            <w:r>
              <w:rPr>
                <w:rFonts w:ascii="Times New Roman" w:hAnsi="Times New Roman"/>
                <w:sz w:val="20"/>
              </w:rPr>
              <w:t>Länderrisiko</w:t>
            </w:r>
          </w:p>
        </w:tc>
        <w:tc>
          <w:tcPr>
            <w:tcW w:type="dxa" w:w="3024"/>
          </w:tcPr>
          <w:p>
            <w:r>
              <w:rPr>
                <w:rFonts w:ascii="Times New Roman" w:hAnsi="Times New Roman"/>
                <w:sz w:val="20"/>
              </w:rPr>
              <w:t>Rumänien (Mittel) + Zahlungsweg Malta + Zypern (Hoch)</w:t>
            </w:r>
          </w:p>
        </w:tc>
        <w:tc>
          <w:tcPr>
            <w:tcW w:type="dxa" w:w="3024"/>
          </w:tcPr>
          <w:p>
            <w:r>
              <w:rPr>
                <w:rFonts w:ascii="Times New Roman" w:hAnsi="Times New Roman"/>
                <w:sz w:val="20"/>
              </w:rPr>
              <w:t>Hoch</w:t>
            </w:r>
          </w:p>
        </w:tc>
      </w:tr>
      <w:tr>
        <w:tc>
          <w:tcPr>
            <w:tcW w:type="dxa" w:w="3024"/>
          </w:tcPr>
          <w:p>
            <w:r>
              <w:rPr>
                <w:rFonts w:ascii="Times New Roman" w:hAnsi="Times New Roman"/>
                <w:sz w:val="20"/>
              </w:rPr>
              <w:t>Zeitdruck</w:t>
            </w:r>
          </w:p>
        </w:tc>
        <w:tc>
          <w:tcPr>
            <w:tcW w:type="dxa" w:w="3024"/>
          </w:tcPr>
          <w:p>
            <w:r>
              <w:rPr>
                <w:rFonts w:ascii="Times New Roman" w:hAnsi="Times New Roman"/>
                <w:sz w:val="20"/>
              </w:rPr>
              <w:t>Vertrieb drängt auf Freigabe trotz offener KYC</w:t>
            </w:r>
          </w:p>
        </w:tc>
        <w:tc>
          <w:tcPr>
            <w:tcW w:type="dxa" w:w="3024"/>
          </w:tcPr>
          <w:p>
            <w:r>
              <w:rPr>
                <w:rFonts w:ascii="Times New Roman" w:hAnsi="Times New Roman"/>
                <w:sz w:val="20"/>
              </w:rPr>
              <w:t>Hoch</w:t>
            </w:r>
          </w:p>
        </w:tc>
      </w:tr>
    </w:tbl>
    <w:p>
      <w:pPr>
        <w:jc w:val="left"/>
      </w:pPr>
      <w:r>
        <w:rPr>
          <w:b/>
        </w:rPr>
        <w:t>Gesamtbewertung Danube Trade Solutions SRL: Hoch</w:t>
      </w:r>
      <w:r>
        <w:t xml:space="preserve"> → Verstärkte Sorgfaltspflichten gem. § 15 GwG, Genehmigungspflicht GF, Verdachtsmeldung eingeleitet.</w:t>
      </w:r>
    </w:p>
    <w:p/>
    <w:p>
      <w:pPr>
        <w:pStyle w:val="Heading2"/>
      </w:pPr>
      <w:r>
        <w:rPr>
          <w:rFonts w:ascii="Times New Roman" w:hAnsi="Times New Roman"/>
        </w:rPr>
        <w:t>10. Maßnahmenplan und Verantwortlichkeiten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Maßnahme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Turnus / Frist</w:t>
            </w:r>
          </w:p>
        </w:tc>
        <w:tc>
          <w:tcPr>
            <w:tcW w:type="dxa" w:w="2268"/>
          </w:tcPr>
          <w:p>
            <w:r>
              <w:rPr>
                <w:rFonts w:ascii="Times New Roman" w:hAnsi="Times New Roman"/>
                <w:b/>
                <w:sz w:val="20"/>
              </w:rPr>
              <w:t>Status</w:t>
            </w:r>
          </w:p>
        </w:tc>
      </w:tr>
      <w:tr>
        <w:tc>
          <w:tcPr>
            <w:tcW w:type="dxa" w:w="2268"/>
          </w:tcPr>
          <w:p>
            <w:r>
              <w:rPr>
                <w:rFonts w:ascii="Times New Roman" w:hAnsi="Times New Roman"/>
                <w:sz w:val="20"/>
              </w:rPr>
              <w:t>KYC-Prüfung alle neuen Kunden</w:t>
            </w:r>
          </w:p>
        </w:tc>
        <w:tc>
          <w:tcPr>
            <w:tcW w:type="dxa" w:w="2268"/>
          </w:tcPr>
          <w:p>
            <w:r>
              <w:rPr>
                <w:rFonts w:ascii="Times New Roman" w:hAnsi="Times New Roman"/>
                <w:sz w:val="20"/>
              </w:rPr>
              <w:t>GwB Eckhardt</w:t>
            </w:r>
          </w:p>
        </w:tc>
        <w:tc>
          <w:tcPr>
            <w:tcW w:type="dxa" w:w="2268"/>
          </w:tcPr>
          <w:p>
            <w:r>
              <w:rPr>
                <w:rFonts w:ascii="Times New Roman" w:hAnsi="Times New Roman"/>
                <w:sz w:val="20"/>
              </w:rPr>
              <w:t>Bei Neuaufnahme</w:t>
            </w:r>
          </w:p>
        </w:tc>
        <w:tc>
          <w:tcPr>
            <w:tcW w:type="dxa" w:w="2268"/>
          </w:tcPr>
          <w:p>
            <w:r>
              <w:rPr>
                <w:rFonts w:ascii="Times New Roman" w:hAnsi="Times New Roman"/>
                <w:sz w:val="20"/>
              </w:rPr>
              <w:t>Laufend</w:t>
            </w:r>
          </w:p>
        </w:tc>
      </w:tr>
      <w:tr>
        <w:tc>
          <w:tcPr>
            <w:tcW w:type="dxa" w:w="2268"/>
          </w:tcPr>
          <w:p>
            <w:r>
              <w:rPr>
                <w:rFonts w:ascii="Times New Roman" w:hAnsi="Times New Roman"/>
                <w:sz w:val="20"/>
              </w:rPr>
              <w:t>Sanktionsscreening (alle Kunden)</w:t>
            </w:r>
          </w:p>
        </w:tc>
        <w:tc>
          <w:tcPr>
            <w:tcW w:type="dxa" w:w="2268"/>
          </w:tcPr>
          <w:p>
            <w:r>
              <w:rPr>
                <w:rFonts w:ascii="Times New Roman" w:hAnsi="Times New Roman"/>
                <w:sz w:val="20"/>
              </w:rPr>
              <w:t>GwB Eckhardt</w:t>
            </w:r>
          </w:p>
        </w:tc>
        <w:tc>
          <w:tcPr>
            <w:tcW w:type="dxa" w:w="2268"/>
          </w:tcPr>
          <w:p>
            <w:r>
              <w:rPr>
                <w:rFonts w:ascii="Times New Roman" w:hAnsi="Times New Roman"/>
                <w:sz w:val="20"/>
              </w:rPr>
              <w:t>Täglich automatisiert</w:t>
            </w:r>
          </w:p>
        </w:tc>
        <w:tc>
          <w:tcPr>
            <w:tcW w:type="dxa" w:w="2268"/>
          </w:tcPr>
          <w:p>
            <w:r>
              <w:rPr>
                <w:rFonts w:ascii="Times New Roman" w:hAnsi="Times New Roman"/>
                <w:sz w:val="20"/>
              </w:rPr>
              <w:t>Laufend</w:t>
            </w:r>
          </w:p>
        </w:tc>
      </w:tr>
      <w:tr>
        <w:tc>
          <w:tcPr>
            <w:tcW w:type="dxa" w:w="2268"/>
          </w:tcPr>
          <w:p>
            <w:r>
              <w:rPr>
                <w:rFonts w:ascii="Times New Roman" w:hAnsi="Times New Roman"/>
                <w:sz w:val="20"/>
              </w:rPr>
              <w:t>PEP-Freigabe (Vier-Augen)</w:t>
            </w:r>
          </w:p>
        </w:tc>
        <w:tc>
          <w:tcPr>
            <w:tcW w:type="dxa" w:w="2268"/>
          </w:tcPr>
          <w:p>
            <w:r>
              <w:rPr>
                <w:rFonts w:ascii="Times New Roman" w:hAnsi="Times New Roman"/>
                <w:sz w:val="20"/>
              </w:rPr>
              <w:t>GwB + GF</w:t>
            </w:r>
          </w:p>
        </w:tc>
        <w:tc>
          <w:tcPr>
            <w:tcW w:type="dxa" w:w="2268"/>
          </w:tcPr>
          <w:p>
            <w:r>
              <w:rPr>
                <w:rFonts w:ascii="Times New Roman" w:hAnsi="Times New Roman"/>
                <w:sz w:val="20"/>
              </w:rPr>
              <w:t>Bei Treffer</w:t>
            </w:r>
          </w:p>
        </w:tc>
        <w:tc>
          <w:tcPr>
            <w:tcW w:type="dxa" w:w="2268"/>
          </w:tcPr>
          <w:p>
            <w:r>
              <w:rPr>
                <w:rFonts w:ascii="Times New Roman" w:hAnsi="Times New Roman"/>
                <w:sz w:val="20"/>
              </w:rPr>
              <w:t>Laufend</w:t>
            </w:r>
          </w:p>
        </w:tc>
      </w:tr>
      <w:tr>
        <w:tc>
          <w:tcPr>
            <w:tcW w:type="dxa" w:w="2268"/>
          </w:tcPr>
          <w:p>
            <w:r>
              <w:rPr>
                <w:rFonts w:ascii="Times New Roman" w:hAnsi="Times New Roman"/>
                <w:sz w:val="20"/>
              </w:rPr>
              <w:t>Risikoanalyse aktualisieren</w:t>
            </w:r>
          </w:p>
        </w:tc>
        <w:tc>
          <w:tcPr>
            <w:tcW w:type="dxa" w:w="2268"/>
          </w:tcPr>
          <w:p>
            <w:r>
              <w:rPr>
                <w:rFonts w:ascii="Times New Roman" w:hAnsi="Times New Roman"/>
                <w:sz w:val="20"/>
              </w:rPr>
              <w:t>GwB</w:t>
            </w:r>
          </w:p>
        </w:tc>
        <w:tc>
          <w:tcPr>
            <w:tcW w:type="dxa" w:w="2268"/>
          </w:tcPr>
          <w:p>
            <w:r>
              <w:rPr>
                <w:rFonts w:ascii="Times New Roman" w:hAnsi="Times New Roman"/>
                <w:sz w:val="20"/>
              </w:rPr>
              <w:t>Jährlich, anlassbezogen</w:t>
            </w:r>
          </w:p>
        </w:tc>
        <w:tc>
          <w:tcPr>
            <w:tcW w:type="dxa" w:w="2268"/>
          </w:tcPr>
          <w:p>
            <w:r>
              <w:rPr>
                <w:rFonts w:ascii="Times New Roman" w:hAnsi="Times New Roman"/>
                <w:sz w:val="20"/>
              </w:rPr>
              <w:t>Mai 2026 erledigt</w:t>
            </w:r>
          </w:p>
        </w:tc>
      </w:tr>
      <w:tr>
        <w:tc>
          <w:tcPr>
            <w:tcW w:type="dxa" w:w="2268"/>
          </w:tcPr>
          <w:p>
            <w:r>
              <w:rPr>
                <w:rFonts w:ascii="Times New Roman" w:hAnsi="Times New Roman"/>
                <w:sz w:val="20"/>
              </w:rPr>
              <w:t>Mitarbeiterschulung AML/KYC</w:t>
            </w:r>
          </w:p>
        </w:tc>
        <w:tc>
          <w:tcPr>
            <w:tcW w:type="dxa" w:w="2268"/>
          </w:tcPr>
          <w:p>
            <w:r>
              <w:rPr>
                <w:rFonts w:ascii="Times New Roman" w:hAnsi="Times New Roman"/>
                <w:sz w:val="20"/>
              </w:rPr>
              <w:t>GwB</w:t>
            </w:r>
          </w:p>
        </w:tc>
        <w:tc>
          <w:tcPr>
            <w:tcW w:type="dxa" w:w="2268"/>
          </w:tcPr>
          <w:p>
            <w:r>
              <w:rPr>
                <w:rFonts w:ascii="Times New Roman" w:hAnsi="Times New Roman"/>
                <w:sz w:val="20"/>
              </w:rPr>
              <w:t>Jährlich</w:t>
            </w:r>
          </w:p>
        </w:tc>
        <w:tc>
          <w:tcPr>
            <w:tcW w:type="dxa" w:w="2268"/>
          </w:tcPr>
          <w:p>
            <w:r>
              <w:rPr>
                <w:rFonts w:ascii="Times New Roman" w:hAnsi="Times New Roman"/>
                <w:sz w:val="20"/>
              </w:rPr>
              <w:t>26.05.2026 geplant</w:t>
            </w:r>
          </w:p>
        </w:tc>
      </w:tr>
      <w:tr>
        <w:tc>
          <w:tcPr>
            <w:tcW w:type="dxa" w:w="2268"/>
          </w:tcPr>
          <w:p>
            <w:r>
              <w:rPr>
                <w:rFonts w:ascii="Times New Roman" w:hAnsi="Times New Roman"/>
                <w:sz w:val="20"/>
              </w:rPr>
              <w:t>Internes Audit</w:t>
            </w:r>
          </w:p>
        </w:tc>
        <w:tc>
          <w:tcPr>
            <w:tcW w:type="dxa" w:w="2268"/>
          </w:tcPr>
          <w:p>
            <w:r>
              <w:rPr>
                <w:rFonts w:ascii="Times New Roman" w:hAnsi="Times New Roman"/>
                <w:sz w:val="20"/>
              </w:rPr>
              <w:t>Interne Revision</w:t>
            </w:r>
          </w:p>
        </w:tc>
        <w:tc>
          <w:tcPr>
            <w:tcW w:type="dxa" w:w="2268"/>
          </w:tcPr>
          <w:p>
            <w:r>
              <w:rPr>
                <w:rFonts w:ascii="Times New Roman" w:hAnsi="Times New Roman"/>
                <w:sz w:val="20"/>
              </w:rPr>
              <w:t>Halbjährlich</w:t>
            </w:r>
          </w:p>
        </w:tc>
        <w:tc>
          <w:tcPr>
            <w:tcW w:type="dxa" w:w="2268"/>
          </w:tcPr>
          <w:p>
            <w:r>
              <w:rPr>
                <w:rFonts w:ascii="Times New Roman" w:hAnsi="Times New Roman"/>
                <w:sz w:val="20"/>
              </w:rPr>
              <w:t>Fällig Q2 2026</w:t>
            </w:r>
          </w:p>
        </w:tc>
      </w:tr>
      <w:tr>
        <w:tc>
          <w:tcPr>
            <w:tcW w:type="dxa" w:w="2268"/>
          </w:tcPr>
          <w:p>
            <w:r>
              <w:rPr>
                <w:rFonts w:ascii="Times New Roman" w:hAnsi="Times New Roman"/>
                <w:sz w:val="20"/>
              </w:rPr>
              <w:t>Transparenzregister-Abgleich</w:t>
            </w:r>
          </w:p>
        </w:tc>
        <w:tc>
          <w:tcPr>
            <w:tcW w:type="dxa" w:w="2268"/>
          </w:tcPr>
          <w:p>
            <w:r>
              <w:rPr>
                <w:rFonts w:ascii="Times New Roman" w:hAnsi="Times New Roman"/>
                <w:sz w:val="20"/>
              </w:rPr>
              <w:t>Rechtsabteilung</w:t>
            </w:r>
          </w:p>
        </w:tc>
        <w:tc>
          <w:tcPr>
            <w:tcW w:type="dxa" w:w="2268"/>
          </w:tcPr>
          <w:p>
            <w:r>
              <w:rPr>
                <w:rFonts w:ascii="Times New Roman" w:hAnsi="Times New Roman"/>
                <w:sz w:val="20"/>
              </w:rPr>
              <w:t>Jährlich</w:t>
            </w:r>
          </w:p>
        </w:tc>
        <w:tc>
          <w:tcPr>
            <w:tcW w:type="dxa" w:w="2268"/>
          </w:tcPr>
          <w:p>
            <w:r>
              <w:rPr>
                <w:rFonts w:ascii="Times New Roman" w:hAnsi="Times New Roman"/>
                <w:sz w:val="20"/>
              </w:rPr>
              <w:t>Unstimmigkeit festgestellt</w:t>
            </w:r>
          </w:p>
        </w:tc>
      </w:tr>
      <w:tr>
        <w:tc>
          <w:tcPr>
            <w:tcW w:type="dxa" w:w="2268"/>
          </w:tcPr>
          <w:p>
            <w:r>
              <w:rPr>
                <w:rFonts w:ascii="Times New Roman" w:hAnsi="Times New Roman"/>
                <w:sz w:val="20"/>
              </w:rPr>
              <w:t>Verdachtsmeldungen dokumentieren</w:t>
            </w:r>
          </w:p>
        </w:tc>
        <w:tc>
          <w:tcPr>
            <w:tcW w:type="dxa" w:w="2268"/>
          </w:tcPr>
          <w:p>
            <w:r>
              <w:rPr>
                <w:rFonts w:ascii="Times New Roman" w:hAnsi="Times New Roman"/>
                <w:sz w:val="20"/>
              </w:rPr>
              <w:t>GwB</w:t>
            </w:r>
          </w:p>
        </w:tc>
        <w:tc>
          <w:tcPr>
            <w:tcW w:type="dxa" w:w="2268"/>
          </w:tcPr>
          <w:p>
            <w:r>
              <w:rPr>
                <w:rFonts w:ascii="Times New Roman" w:hAnsi="Times New Roman"/>
                <w:sz w:val="20"/>
              </w:rPr>
              <w:t>Bei Anlassfall</w:t>
            </w:r>
          </w:p>
        </w:tc>
        <w:tc>
          <w:tcPr>
            <w:tcW w:type="dxa" w:w="2268"/>
          </w:tcPr>
          <w:p>
            <w:r>
              <w:rPr>
                <w:rFonts w:ascii="Times New Roman" w:hAnsi="Times New Roman"/>
                <w:sz w:val="20"/>
              </w:rPr>
              <w:t>VM-MH-2026-0041</w:t>
            </w:r>
          </w:p>
        </w:tc>
      </w:tr>
    </w:tbl>
    <w:p/>
    <w:p>
      <w:pPr>
        <w:pStyle w:val="Heading2"/>
      </w:pPr>
      <w:r>
        <w:rPr>
          <w:rFonts w:ascii="Times New Roman" w:hAnsi="Times New Roman"/>
        </w:rPr>
        <w:t>11. Genehmigungsvermerk</w:t>
      </w:r>
    </w:p>
    <w:p>
      <w:pPr>
        <w:jc w:val="left"/>
      </w:pPr>
      <w:r>
        <w:t xml:space="preserve">Diese Risikoanalyse wurde am </w:t>
      </w:r>
      <w:r>
        <w:rPr>
          <w:b/>
        </w:rPr>
        <w:t>15.05.2026</w:t>
      </w:r>
      <w:r>
        <w:t xml:space="preserve"> von der Geschäftsführung der Musterholding GmbH geprüft und genehmigt.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Funktion</w:t>
            </w:r>
          </w:p>
        </w:tc>
        <w:tc>
          <w:tcPr>
            <w:tcW w:type="dxa" w:w="2268"/>
          </w:tcPr>
          <w:p>
            <w:r>
              <w:rPr>
                <w:rFonts w:ascii="Times New Roman" w:hAnsi="Times New Roman"/>
                <w:b/>
                <w:sz w:val="20"/>
              </w:rPr>
              <w:t>Name</w:t>
            </w:r>
          </w:p>
        </w:tc>
        <w:tc>
          <w:tcPr>
            <w:tcW w:type="dxa" w:w="2268"/>
          </w:tcPr>
          <w:p>
            <w:r>
              <w:rPr>
                <w:rFonts w:ascii="Times New Roman" w:hAnsi="Times New Roman"/>
                <w:b/>
                <w:sz w:val="20"/>
              </w:rPr>
              <w:t>Unterschrift</w:t>
            </w:r>
          </w:p>
        </w:tc>
        <w:tc>
          <w:tcPr>
            <w:tcW w:type="dxa" w:w="2268"/>
          </w:tcPr>
          <w:p>
            <w:r>
              <w:rPr>
                <w:rFonts w:ascii="Times New Roman" w:hAnsi="Times New Roman"/>
                <w:b/>
                <w:sz w:val="20"/>
              </w:rPr>
              <w:t>Datum</w:t>
            </w:r>
          </w:p>
        </w:tc>
      </w:tr>
      <w:tr>
        <w:tc>
          <w:tcPr>
            <w:tcW w:type="dxa" w:w="2268"/>
          </w:tcPr>
          <w:p>
            <w:r>
              <w:rPr>
                <w:rFonts w:ascii="Times New Roman" w:hAnsi="Times New Roman"/>
                <w:sz w:val="20"/>
              </w:rPr>
              <w:t>Geschäftsführer</w:t>
            </w:r>
          </w:p>
        </w:tc>
        <w:tc>
          <w:tcPr>
            <w:tcW w:type="dxa" w:w="2268"/>
          </w:tcPr>
          <w:p>
            <w:r>
              <w:rPr>
                <w:rFonts w:ascii="Times New Roman" w:hAnsi="Times New Roman"/>
                <w:sz w:val="20"/>
              </w:rPr>
              <w:t>Klaus-Dieter Brenner</w:t>
            </w:r>
          </w:p>
        </w:tc>
        <w:tc>
          <w:tcPr>
            <w:tcW w:type="dxa" w:w="2268"/>
          </w:tcPr>
          <w:p>
            <w:r>
              <w:rPr>
                <w:rFonts w:ascii="Times New Roman" w:hAnsi="Times New Roman"/>
                <w:i/>
                <w:sz w:val="20"/>
              </w:rPr>
              <w:t>(gez.)</w:t>
            </w:r>
          </w:p>
        </w:tc>
        <w:tc>
          <w:tcPr>
            <w:tcW w:type="dxa" w:w="2268"/>
          </w:tcPr>
          <w:p>
            <w:r>
              <w:rPr>
                <w:rFonts w:ascii="Times New Roman" w:hAnsi="Times New Roman"/>
                <w:sz w:val="20"/>
              </w:rPr>
              <w:t>15.05.2026</w:t>
            </w:r>
          </w:p>
        </w:tc>
      </w:tr>
      <w:tr>
        <w:tc>
          <w:tcPr>
            <w:tcW w:type="dxa" w:w="2268"/>
          </w:tcPr>
          <w:p>
            <w:r>
              <w:rPr>
                <w:rFonts w:ascii="Times New Roman" w:hAnsi="Times New Roman"/>
                <w:sz w:val="20"/>
              </w:rPr>
              <w:t>Geschäftsführerin</w:t>
            </w:r>
          </w:p>
        </w:tc>
        <w:tc>
          <w:tcPr>
            <w:tcW w:type="dxa" w:w="2268"/>
          </w:tcPr>
          <w:p>
            <w:r>
              <w:rPr>
                <w:rFonts w:ascii="Times New Roman" w:hAnsi="Times New Roman"/>
                <w:sz w:val="20"/>
              </w:rPr>
              <w:t>Sabine Wollner</w:t>
            </w:r>
          </w:p>
        </w:tc>
        <w:tc>
          <w:tcPr>
            <w:tcW w:type="dxa" w:w="2268"/>
          </w:tcPr>
          <w:p>
            <w:r>
              <w:rPr>
                <w:rFonts w:ascii="Times New Roman" w:hAnsi="Times New Roman"/>
                <w:i/>
                <w:sz w:val="20"/>
              </w:rPr>
              <w:t>(gez.)</w:t>
            </w:r>
          </w:p>
        </w:tc>
        <w:tc>
          <w:tcPr>
            <w:tcW w:type="dxa" w:w="2268"/>
          </w:tcPr>
          <w:p>
            <w:r>
              <w:rPr>
                <w:rFonts w:ascii="Times New Roman" w:hAnsi="Times New Roman"/>
                <w:sz w:val="20"/>
              </w:rPr>
              <w:t>15.05.2026</w:t>
            </w:r>
          </w:p>
        </w:tc>
      </w:tr>
      <w:tr>
        <w:tc>
          <w:tcPr>
            <w:tcW w:type="dxa" w:w="2268"/>
          </w:tcPr>
          <w:p>
            <w:r>
              <w:rPr>
                <w:rFonts w:ascii="Times New Roman" w:hAnsi="Times New Roman"/>
                <w:sz w:val="20"/>
              </w:rPr>
              <w:t>Geldwäschebeauftragter</w:t>
            </w:r>
          </w:p>
        </w:tc>
        <w:tc>
          <w:tcPr>
            <w:tcW w:type="dxa" w:w="2268"/>
          </w:tcPr>
          <w:p>
            <w:r>
              <w:rPr>
                <w:rFonts w:ascii="Times New Roman" w:hAnsi="Times New Roman"/>
                <w:sz w:val="20"/>
              </w:rPr>
              <w:t>Thomas Eckhardt</w:t>
            </w:r>
          </w:p>
        </w:tc>
        <w:tc>
          <w:tcPr>
            <w:tcW w:type="dxa" w:w="2268"/>
          </w:tcPr>
          <w:p>
            <w:r>
              <w:rPr>
                <w:rFonts w:ascii="Times New Roman" w:hAnsi="Times New Roman"/>
                <w:i/>
                <w:sz w:val="20"/>
              </w:rPr>
              <w:t>(gez.)</w:t>
            </w:r>
          </w:p>
        </w:tc>
        <w:tc>
          <w:tcPr>
            <w:tcW w:type="dxa" w:w="2268"/>
          </w:tcPr>
          <w:p>
            <w:r>
              <w:rPr>
                <w:rFonts w:ascii="Times New Roman" w:hAnsi="Times New Roman"/>
                <w:sz w:val="20"/>
              </w:rPr>
              <w:t>15.05.2026</w:t>
            </w:r>
          </w:p>
        </w:tc>
      </w:tr>
    </w:tbl>
    <w:p/>
    <w:p>
      <w:pPr>
        <w:jc w:val="left"/>
      </w:pPr>
      <w:r>
        <w:rPr>
          <w:i/>
        </w:rPr>
        <w:t>Dokument-Nr.: RA-MH-2026-02 — Musterholding GmbH, Frankfurt am Main</w:t>
      </w:r>
    </w:p>
    <w:p>
      <w:pPr>
        <w:jc w:val="left"/>
      </w:pPr>
      <w:r>
        <w:rPr>
          <w:i/>
        </w:rPr>
        <w:t>Nächste Überprüfung: 15.05.2027 oder anlassbezogen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Musterholding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Musterholding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