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risikomatrix_2026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Risikomatrix</w:t>
      </w:r>
    </w:p>
    <w:p>
      <w:pPr>
        <w:pStyle w:val="Heading3"/>
      </w:pPr>
      <w:r>
        <w:rPr>
          <w:rFonts w:ascii="Times New Roman" w:hAnsi="Times New Roman"/>
        </w:rPr>
        <w:t>Risikomatrix 2026 – Musterholding GmbH</w:t>
      </w:r>
    </w:p>
    <w:p>
      <w:pPr>
        <w:jc w:val="left"/>
      </w:pPr>
      <w:r>
        <w:t>_Dok.-Nr. RA-MH-2026-02 \| Version 2.0 \| Genehmigt: 15.05.2026 \| § 5 GwG_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Risikofeld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EW (1–5)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SA (1–5)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Restrisiko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Bargeldannahme Ersatzteile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Transaktionsrisiko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Bargeldobergrenze; vereinfachte KYC nur &lt;10 TEUR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Edelmetallhandel mit Bargeld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Produktrisiko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Verstärkte KYC; Herkunftsnachweis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Nicht-EU-Distributoren, UBO unklar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Kundenrisiko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Verstärkte Sorgfalt; GF-Genehmigung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Drittzahlungen ohne Begründung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Transaktionsrisiko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Ablehnung oder verstärkte Prüfung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PEP-Treffer bei Vertragspartnern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Kundenrisiko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GF-Freigabe; Mittelherkunft klären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Offshore-UBO (Zypern, Malta)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Kundenrisiko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Durchdringung Beteiligungsstruktur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Handelsagenten Drittland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Vertriebskanal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Agent-Due-Diligence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Immobilientransaktion Tochter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Produktrisiko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KYC Käufer/Verkäufer; Notar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R-09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Screening-Fehler (False Negative)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Prozessrisiko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Vier-Augen-Freigabe; Protokollierung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Sanktionsverstoß Drittland-Lieferung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Geografisch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Export-Compliance-Prüfung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R-11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Transparenzregister-Unstimmigkeit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Prozessrisiko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Unstimmigkeitsmeldung; Aktualitätsprüfung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R-12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Schulungsdefizit Mitarbeiter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Prozessrisiko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Jährliche Pflichtschulung; Protokollierung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R-13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Fehlende Verdachtsmeldung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Prozessrisiko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Klare Meldekette; Entscheidungsprotokoll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R-14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Structuring (knapp unter Schwelle)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Transaktionsrisiko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Monitoring-Regeln systemseitig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R-15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Kryptowährungs-Zahlungen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Produktrisiko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Richtlinie: keine Akzeptanz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  <w:tr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Legende: EW = Eintrittswahrscheinlichkeit (1=sehr unwahrscheinlich, 5=sehr wahrscheinlich) \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SA = Schadensausmaß (1=gering, 5=sehr hoch) \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Restrisiko = EW × SA \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≥15 = HOCH \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8–14 = MITTEL \</w:t>
            </w:r>
          </w:p>
        </w:tc>
        <w:tc>
          <w:tcPr>
            <w:tcW w:type="dxa" w:w="698"/>
          </w:tcPr>
          <w:p>
            <w:r>
              <w:rPr>
                <w:rFonts w:ascii="Times New Roman" w:hAnsi="Times New Roman"/>
                <w:sz w:val="20"/>
              </w:rPr>
              <w:t>≤7 = NIEDRIG</w:t>
            </w:r>
          </w:p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  <w:tc>
          <w:tcPr>
            <w:tcW w:type="dxa" w:w="698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Länderrisiken</w:t>
      </w:r>
    </w:p>
    <w:p>
      <w:pPr>
        <w:pStyle w:val="Heading3"/>
      </w:pPr>
      <w:r>
        <w:rPr>
          <w:rFonts w:ascii="Times New Roman" w:hAnsi="Times New Roman"/>
        </w:rPr>
        <w:t>Länderrisiko-Übersicht – Musterholding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Land / Region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Risikoniveau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Deutschland, Österreich, Schweiz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FATF-konform, EU-AML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Standard-Sorgfalt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Westeuropa (EU-Kernländer)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FATF-konform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Standard-Sorgfalt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Osteuropa (PL, CZ, SK)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Niedrig–Mittel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EU-Mitglieder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Erhöhte Aufmerksamkeit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Rumänien, Bulgarien, Ungarn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EU, erhöhte Korruption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Verstärkte Sorgfalt bei Neukunden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Zypern, Malta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EU-Offshore, Durchleitung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Offshore-UBO-Risiko; Verstärkte Sorgfalt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Westbalkan (Serbien, Bosnien)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EU, Korruption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Verstärkte Sorgfalt; GF-Genehmigung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MENA (allgemein)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Variabel, Einzelstaaten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Einzelfallprüfung notwendig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Russland, Belarus, Iran, 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 / Sanktionen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EU-Sanktionen, FATF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Geschäftsbeziehungen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Vereinigte Arabische Emirate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Mittel–Hoch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Post-FATF-Grau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Monitoring; erhöhte Sorgfalt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Kundensegmente</w:t>
      </w:r>
    </w:p>
    <w:p>
      <w:pPr>
        <w:pStyle w:val="Heading3"/>
      </w:pPr>
      <w:r>
        <w:rPr>
          <w:rFonts w:ascii="Times New Roman" w:hAnsi="Times New Roman"/>
        </w:rPr>
        <w:t>Kundensegment-Risikoübersicht – Musterholding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Segment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Anteil Umsatz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Sorgfaltspflicht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Inländische Industriekunden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Etablierte Großkunden DE/EU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55 %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Langjährige Beziehung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EU-Handelskunden (etabliert)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Bestandskunden Westeuropa &gt;3 Jahre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Niedrig–Mittel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Regelmäßige KYC-Erneuerung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Neue EU-Handelskunden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Erstgeschäfte, keine Vorhistorie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Standard/Verstärkt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Vollständige KYC-Prüfung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Nicht-EU-Distributoren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Südosteuropa, MENA, Asien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Verstärkt + GF-Genehmigung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UBO-Pflicht; PEP-Screening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Privatkunden Ersatzteile (bar)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Einzeltransaktionen, Barzahlung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Verstärkt bei &gt;10k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Bargeldschwelle beachten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Maßnahmenplan</w:t>
      </w:r>
    </w:p>
    <w:p>
      <w:pPr>
        <w:pStyle w:val="Heading3"/>
      </w:pPr>
      <w:r>
        <w:rPr>
          <w:rFonts w:ascii="Times New Roman" w:hAnsi="Times New Roman"/>
        </w:rPr>
        <w:t>Maßnahmenplan AML-Compliance – Musterholding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Turnus/Frist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Finding-Ref.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KYC-Prüfung alle neuen Kunden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 Eckhardt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Bei Neuaufnahme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Sanktionsscreening (Tagesabgleich)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 Eckhardt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Täglich automatisiert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R-09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PEP-Freigabe Vier-Augen-Verfahren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 + GF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Bei Treffer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F-1 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R-05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Risikoanalyse aktualisieren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 + anlassbezogen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15.05.2026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R-07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Mitarbeiterschulung AML/KYC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26.05.2026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Internes Audit AML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Interne Revision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Halbjährlich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Erledigt 28.05.2026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Transparenzregister-Abgleich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Rechtsabteilung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Korrektur eingeleitet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R-11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Vier-Augen-Formular + Systemanpassung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 + 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F-1: 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F-1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M-09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Fälligkeitsliste KYC-Erneuerung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Neue Monitoring-Regel Drittzahler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 + GwB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Pflicht-E-Learning-System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 + 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31.07.2026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Verdachtsentscheidungs-Formular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GwB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F-5: eingef.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F-5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Musterholding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Musterholding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