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Verdachtsmeldung an FIU – VM-MH-2026-0041 (Vollständiges SAR-Formular)</w:t>
      </w:r>
    </w:p>
    <w:p>
      <w:pPr>
        <w:jc w:val="left"/>
      </w:pPr>
      <w:r>
        <w:rPr>
          <w:b/>
        </w:rPr>
        <w:t>Meldungs-Nr. (intern):</w:t>
      </w:r>
      <w:r>
        <w:t xml:space="preserve"> VM-MH-2026-0041</w:t>
      </w:r>
    </w:p>
    <w:p>
      <w:pPr>
        <w:jc w:val="left"/>
      </w:pPr>
      <w:r>
        <w:rPr>
          <w:b/>
        </w:rPr>
        <w:t>goAML-Referenz:</w:t>
      </w:r>
      <w:r>
        <w:t xml:space="preserve"> Eingereicht 19.05.2026, 11:34 Uhr MESZ</w:t>
      </w:r>
    </w:p>
    <w:p>
      <w:pPr>
        <w:jc w:val="left"/>
      </w:pPr>
      <w:r>
        <w:rPr>
          <w:b/>
        </w:rPr>
        <w:t>goAML-Eingangsbestätigung:</w:t>
      </w:r>
      <w:r>
        <w:t xml:space="preserve"> 19.05.2026, 11:41 Uhr (automatische Bestätigung goAML-Portal)</w:t>
      </w:r>
    </w:p>
    <w:p>
      <w:pPr>
        <w:jc w:val="left"/>
      </w:pPr>
      <w:r>
        <w:rPr>
          <w:b/>
        </w:rPr>
        <w:t>Meldepflichtiger:</w:t>
      </w:r>
      <w:r>
        <w:t xml:space="preserve"> Musterholding GmbH, Gutleutstraße 44, 60329 Frankfurt am Main</w:t>
      </w:r>
    </w:p>
    <w:p>
      <w:pPr>
        <w:jc w:val="left"/>
      </w:pPr>
      <w:r>
        <w:rPr>
          <w:b/>
        </w:rPr>
        <w:t>Geldwäschebeauftragter:</w:t>
      </w:r>
      <w:r>
        <w:t xml:space="preserve"> Thomas Eckhardt</w:t>
      </w:r>
    </w:p>
    <w:p>
      <w:pPr>
        <w:jc w:val="left"/>
      </w:pPr>
      <w:r>
        <w:rPr>
          <w:b/>
        </w:rPr>
        <w:t>Unterstützende Beratung:</w:t>
      </w:r>
      <w:r>
        <w:t xml:space="preserve"> RA Dr. Franziska Heller, Kanzlei Heller &amp; Schönfeld</w:t>
      </w:r>
    </w:p>
    <w:p>
      <w:pPr>
        <w:jc w:val="left"/>
      </w:pPr>
      <w:r>
        <w:rPr>
          <w:b/>
        </w:rPr>
        <w:t>Rechtsgrundlage:</w:t>
      </w:r>
      <w:r>
        <w:t xml:space="preserve"> § 43 Abs. 1 GwG; § 261 StGB; § 89a StGB</w:t>
      </w:r>
    </w:p>
    <w:p/>
    <w:p>
      <w:pPr>
        <w:pStyle w:val="Heading2"/>
      </w:pPr>
      <w:r>
        <w:rPr>
          <w:rFonts w:ascii="Times New Roman" w:hAnsi="Times New Roman"/>
        </w:rPr>
        <w:t>ABSCHNITT 1: MELDENDER VERPFLICHTETER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Name des Verpflichteten</w:t>
            </w:r>
          </w:p>
        </w:tc>
        <w:tc>
          <w:tcPr>
            <w:tcW w:type="dxa" w:w="4536"/>
          </w:tcPr>
          <w:p>
            <w:r>
              <w:rPr>
                <w:rFonts w:ascii="Times New Roman" w:hAnsi="Times New Roman"/>
                <w:sz w:val="20"/>
              </w:rPr>
              <w:t>Musterholding GmbH</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GmbH</w:t>
            </w:r>
          </w:p>
        </w:tc>
      </w:tr>
      <w:tr>
        <w:tc>
          <w:tcPr>
            <w:tcW w:type="dxa" w:w="4536"/>
          </w:tcPr>
          <w:p>
            <w:r>
              <w:rPr>
                <w:rFonts w:ascii="Times New Roman" w:hAnsi="Times New Roman"/>
                <w:b/>
                <w:sz w:val="20"/>
              </w:rPr>
              <w:t>Handelsregisternummer</w:t>
            </w:r>
          </w:p>
        </w:tc>
        <w:tc>
          <w:tcPr>
            <w:tcW w:type="dxa" w:w="4536"/>
          </w:tcPr>
          <w:p>
            <w:r>
              <w:rPr>
                <w:rFonts w:ascii="Times New Roman" w:hAnsi="Times New Roman"/>
                <w:sz w:val="20"/>
              </w:rPr>
              <w:t>HRB 74281 B (AG Frankfurt am Main)</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Gutleutstraße 44, 60329 Frankfurt am Main</w:t>
            </w:r>
          </w:p>
        </w:tc>
      </w:tr>
      <w:tr>
        <w:tc>
          <w:tcPr>
            <w:tcW w:type="dxa" w:w="4536"/>
          </w:tcPr>
          <w:p>
            <w:r>
              <w:rPr>
                <w:rFonts w:ascii="Times New Roman" w:hAnsi="Times New Roman"/>
                <w:b/>
                <w:sz w:val="20"/>
              </w:rPr>
              <w:t>Telefon</w:t>
            </w:r>
          </w:p>
        </w:tc>
        <w:tc>
          <w:tcPr>
            <w:tcW w:type="dxa" w:w="4536"/>
          </w:tcPr>
          <w:p>
            <w:r>
              <w:rPr>
                <w:rFonts w:ascii="Times New Roman" w:hAnsi="Times New Roman"/>
                <w:sz w:val="20"/>
              </w:rPr>
              <w:t>+49 69 74 55 210</w:t>
            </w:r>
          </w:p>
        </w:tc>
      </w:tr>
      <w:tr>
        <w:tc>
          <w:tcPr>
            <w:tcW w:type="dxa" w:w="4536"/>
          </w:tcPr>
          <w:p>
            <w:r>
              <w:rPr>
                <w:rFonts w:ascii="Times New Roman" w:hAnsi="Times New Roman"/>
                <w:b/>
                <w:sz w:val="20"/>
              </w:rPr>
              <w:t>E-Mail</w:t>
            </w:r>
          </w:p>
        </w:tc>
        <w:tc>
          <w:tcPr>
            <w:tcW w:type="dxa" w:w="4536"/>
          </w:tcPr>
          <w:p>
            <w:r>
              <w:rPr>
                <w:rFonts w:ascii="Times New Roman" w:hAnsi="Times New Roman"/>
                <w:sz w:val="20"/>
              </w:rPr>
              <w:t>compliance@musterholding.de</w:t>
            </w:r>
          </w:p>
        </w:tc>
      </w:tr>
      <w:tr>
        <w:tc>
          <w:tcPr>
            <w:tcW w:type="dxa" w:w="4536"/>
          </w:tcPr>
          <w:p>
            <w:r>
              <w:rPr>
                <w:rFonts w:ascii="Times New Roman" w:hAnsi="Times New Roman"/>
                <w:b/>
                <w:sz w:val="20"/>
              </w:rPr>
              <w:t>Verpflichtetengruppe</w:t>
            </w:r>
          </w:p>
        </w:tc>
        <w:tc>
          <w:tcPr>
            <w:tcW w:type="dxa" w:w="4536"/>
          </w:tcPr>
          <w:p>
            <w:r>
              <w:rPr>
                <w:rFonts w:ascii="Times New Roman" w:hAnsi="Times New Roman"/>
                <w:sz w:val="20"/>
              </w:rPr>
              <w:t>Güterhändler (§ 2 Abs. 1 Nr. 16 GwG)</w:t>
            </w:r>
          </w:p>
        </w:tc>
      </w:tr>
      <w:tr>
        <w:tc>
          <w:tcPr>
            <w:tcW w:type="dxa" w:w="4536"/>
          </w:tcPr>
          <w:p>
            <w:r>
              <w:rPr>
                <w:rFonts w:ascii="Times New Roman" w:hAnsi="Times New Roman"/>
                <w:b/>
                <w:sz w:val="20"/>
              </w:rPr>
              <w:t>Aufsichtsbehörde</w:t>
            </w:r>
          </w:p>
        </w:tc>
        <w:tc>
          <w:tcPr>
            <w:tcW w:type="dxa" w:w="4536"/>
          </w:tcPr>
          <w:p>
            <w:r>
              <w:rPr>
                <w:rFonts w:ascii="Times New Roman" w:hAnsi="Times New Roman"/>
                <w:sz w:val="20"/>
              </w:rPr>
              <w:t>Regierungspräsidium Darmstadt, Referat IV/AML</w:t>
            </w:r>
          </w:p>
        </w:tc>
      </w:tr>
      <w:tr>
        <w:tc>
          <w:tcPr>
            <w:tcW w:type="dxa" w:w="4536"/>
          </w:tcPr>
          <w:p>
            <w:r>
              <w:rPr>
                <w:rFonts w:ascii="Times New Roman" w:hAnsi="Times New Roman"/>
                <w:b/>
                <w:sz w:val="20"/>
              </w:rPr>
              <w:t>Geldwäschebeauftragter</w:t>
            </w:r>
          </w:p>
        </w:tc>
        <w:tc>
          <w:tcPr>
            <w:tcW w:type="dxa" w:w="4536"/>
          </w:tcPr>
          <w:p>
            <w:r>
              <w:rPr>
                <w:rFonts w:ascii="Times New Roman" w:hAnsi="Times New Roman"/>
                <w:sz w:val="20"/>
              </w:rPr>
              <w:t>Thomas Eckhardt, +49 69 74 55 291, t.eckhardt@musterholding.de</w:t>
            </w:r>
          </w:p>
        </w:tc>
      </w:tr>
    </w:tbl>
    <w:p/>
    <w:p>
      <w:pPr>
        <w:pStyle w:val="Heading2"/>
      </w:pPr>
      <w:r>
        <w:rPr>
          <w:rFonts w:ascii="Times New Roman" w:hAnsi="Times New Roman"/>
        </w:rPr>
        <w:t>ABSCHNITT 2: VERDÄCHTIGTE PERSONEN UND UNTERNEHMEN</w:t>
      </w:r>
    </w:p>
    <w:p>
      <w:pPr>
        <w:pStyle w:val="Heading3"/>
      </w:pPr>
      <w:r>
        <w:rPr>
          <w:rFonts w:ascii="Times New Roman" w:hAnsi="Times New Roman"/>
        </w:rPr>
        <w:t>Person 1: Andrei Constantin Moldovan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Name</w:t>
            </w:r>
          </w:p>
        </w:tc>
        <w:tc>
          <w:tcPr>
            <w:tcW w:type="dxa" w:w="4536"/>
          </w:tcPr>
          <w:p>
            <w:r>
              <w:rPr>
                <w:rFonts w:ascii="Times New Roman" w:hAnsi="Times New Roman"/>
                <w:sz w:val="20"/>
              </w:rPr>
              <w:t>Andrei Constantin Moldovan</w:t>
            </w:r>
          </w:p>
        </w:tc>
      </w:tr>
      <w:tr>
        <w:tc>
          <w:tcPr>
            <w:tcW w:type="dxa" w:w="4536"/>
          </w:tcPr>
          <w:p>
            <w:r>
              <w:rPr>
                <w:rFonts w:ascii="Times New Roman" w:hAnsi="Times New Roman"/>
                <w:b/>
                <w:sz w:val="20"/>
              </w:rPr>
              <w:t>Geburtsdatum</w:t>
            </w:r>
          </w:p>
        </w:tc>
        <w:tc>
          <w:tcPr>
            <w:tcW w:type="dxa" w:w="4536"/>
          </w:tcPr>
          <w:p>
            <w:r>
              <w:rPr>
                <w:rFonts w:ascii="Times New Roman" w:hAnsi="Times New Roman"/>
                <w:sz w:val="20"/>
              </w:rPr>
              <w:t>14.02.1971</w:t>
            </w:r>
          </w:p>
        </w:tc>
      </w:tr>
      <w:tr>
        <w:tc>
          <w:tcPr>
            <w:tcW w:type="dxa" w:w="4536"/>
          </w:tcPr>
          <w:p>
            <w:r>
              <w:rPr>
                <w:rFonts w:ascii="Times New Roman" w:hAnsi="Times New Roman"/>
                <w:b/>
                <w:sz w:val="20"/>
              </w:rPr>
              <w:t>Geburtsort</w:t>
            </w:r>
          </w:p>
        </w:tc>
        <w:tc>
          <w:tcPr>
            <w:tcW w:type="dxa" w:w="4536"/>
          </w:tcPr>
          <w:p>
            <w:r>
              <w:rPr>
                <w:rFonts w:ascii="Times New Roman" w:hAnsi="Times New Roman"/>
                <w:sz w:val="20"/>
              </w:rPr>
              <w:t>Cluj-Napoca, Rumänien</w:t>
            </w:r>
          </w:p>
        </w:tc>
      </w:tr>
      <w:tr>
        <w:tc>
          <w:tcPr>
            <w:tcW w:type="dxa" w:w="4536"/>
          </w:tcPr>
          <w:p>
            <w:r>
              <w:rPr>
                <w:rFonts w:ascii="Times New Roman" w:hAnsi="Times New Roman"/>
                <w:b/>
                <w:sz w:val="20"/>
              </w:rPr>
              <w:t>Staatsangehörigkeit</w:t>
            </w:r>
          </w:p>
        </w:tc>
        <w:tc>
          <w:tcPr>
            <w:tcW w:type="dxa" w:w="4536"/>
          </w:tcPr>
          <w:p>
            <w:r>
              <w:rPr>
                <w:rFonts w:ascii="Times New Roman" w:hAnsi="Times New Roman"/>
                <w:sz w:val="20"/>
              </w:rPr>
              <w:t>Rumänisch</w:t>
            </w:r>
          </w:p>
        </w:tc>
      </w:tr>
      <w:tr>
        <w:tc>
          <w:tcPr>
            <w:tcW w:type="dxa" w:w="4536"/>
          </w:tcPr>
          <w:p>
            <w:r>
              <w:rPr>
                <w:rFonts w:ascii="Times New Roman" w:hAnsi="Times New Roman"/>
                <w:b/>
                <w:sz w:val="20"/>
              </w:rPr>
              <w:t>Wohnsitz</w:t>
            </w:r>
          </w:p>
        </w:tc>
        <w:tc>
          <w:tcPr>
            <w:tcW w:type="dxa" w:w="4536"/>
          </w:tcPr>
          <w:p>
            <w:r>
              <w:rPr>
                <w:rFonts w:ascii="Times New Roman" w:hAnsi="Times New Roman"/>
                <w:sz w:val="20"/>
              </w:rPr>
              <w:t>Calea Dorobanților 188, 400117 Cluj-Napoca, Rumänien</w:t>
            </w:r>
          </w:p>
        </w:tc>
      </w:tr>
      <w:tr>
        <w:tc>
          <w:tcPr>
            <w:tcW w:type="dxa" w:w="4536"/>
          </w:tcPr>
          <w:p>
            <w:r>
              <w:rPr>
                <w:rFonts w:ascii="Times New Roman" w:hAnsi="Times New Roman"/>
                <w:b/>
                <w:sz w:val="20"/>
              </w:rPr>
              <w:t>Funktion</w:t>
            </w:r>
          </w:p>
        </w:tc>
        <w:tc>
          <w:tcPr>
            <w:tcW w:type="dxa" w:w="4536"/>
          </w:tcPr>
          <w:p>
            <w:r>
              <w:rPr>
                <w:rFonts w:ascii="Times New Roman" w:hAnsi="Times New Roman"/>
                <w:sz w:val="20"/>
              </w:rPr>
              <w:t>Geschäftsführer Danube Trade Solutions SRL; wirtschaftlich Berechtigter nach § 3 Abs. 2 GwG</w:t>
            </w:r>
          </w:p>
        </w:tc>
      </w:tr>
      <w:tr>
        <w:tc>
          <w:tcPr>
            <w:tcW w:type="dxa" w:w="4536"/>
          </w:tcPr>
          <w:p>
            <w:r>
              <w:rPr>
                <w:rFonts w:ascii="Times New Roman" w:hAnsi="Times New Roman"/>
                <w:b/>
                <w:sz w:val="20"/>
              </w:rPr>
              <w:t>Ausweisdokument</w:t>
            </w:r>
          </w:p>
        </w:tc>
        <w:tc>
          <w:tcPr>
            <w:tcW w:type="dxa" w:w="4536"/>
          </w:tcPr>
          <w:p>
            <w:r>
              <w:rPr>
                <w:rFonts w:ascii="Times New Roman" w:hAnsi="Times New Roman"/>
                <w:sz w:val="20"/>
              </w:rPr>
              <w:t>Reisepass Nr. RX 3847291, Rumänien</w:t>
            </w:r>
          </w:p>
        </w:tc>
      </w:tr>
      <w:tr>
        <w:tc>
          <w:tcPr>
            <w:tcW w:type="dxa" w:w="4536"/>
          </w:tcPr>
          <w:p>
            <w:r>
              <w:rPr>
                <w:rFonts w:ascii="Times New Roman" w:hAnsi="Times New Roman"/>
                <w:b/>
                <w:sz w:val="20"/>
              </w:rPr>
              <w:t>PEP-Status</w:t>
            </w:r>
          </w:p>
        </w:tc>
        <w:tc>
          <w:tcPr>
            <w:tcW w:type="dxa" w:w="4536"/>
          </w:tcPr>
          <w:p>
            <w:r>
              <w:rPr>
                <w:rFonts w:ascii="Times New Roman" w:hAnsi="Times New Roman"/>
                <w:sz w:val="20"/>
              </w:rPr>
              <w:t>Ungeklärt (Namensähnlichkeit zu ehem. Minister; wahrscheinlicher FP, nicht verifiziert)</w:t>
            </w:r>
          </w:p>
        </w:tc>
      </w:tr>
    </w:tbl>
    <w:p>
      <w:pPr>
        <w:pStyle w:val="Heading3"/>
      </w:pPr>
      <w:r>
        <w:rPr>
          <w:rFonts w:ascii="Times New Roman" w:hAnsi="Times New Roman"/>
        </w:rPr>
        <w:t>Unternehmen 1: Danube Trade Solutions SRL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Name</w:t>
            </w:r>
          </w:p>
        </w:tc>
        <w:tc>
          <w:tcPr>
            <w:tcW w:type="dxa" w:w="4536"/>
          </w:tcPr>
          <w:p>
            <w:r>
              <w:rPr>
                <w:rFonts w:ascii="Times New Roman" w:hAnsi="Times New Roman"/>
                <w:sz w:val="20"/>
              </w:rPr>
              <w:t>Danube Trade Solutions SRL</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SRL (rumänisches Recht)</w:t>
            </w:r>
          </w:p>
        </w:tc>
      </w:tr>
      <w:tr>
        <w:tc>
          <w:tcPr>
            <w:tcW w:type="dxa" w:w="4536"/>
          </w:tcPr>
          <w:p>
            <w:r>
              <w:rPr>
                <w:rFonts w:ascii="Times New Roman" w:hAnsi="Times New Roman"/>
                <w:b/>
                <w:sz w:val="20"/>
              </w:rPr>
              <w:t>Registernummer</w:t>
            </w:r>
          </w:p>
        </w:tc>
        <w:tc>
          <w:tcPr>
            <w:tcW w:type="dxa" w:w="4536"/>
          </w:tcPr>
          <w:p>
            <w:r>
              <w:rPr>
                <w:rFonts w:ascii="Times New Roman" w:hAnsi="Times New Roman"/>
                <w:sz w:val="20"/>
              </w:rPr>
              <w:t>J40/12847/2019 (Registrul Comerțului Bukarest)</w:t>
            </w:r>
          </w:p>
        </w:tc>
      </w:tr>
      <w:tr>
        <w:tc>
          <w:tcPr>
            <w:tcW w:type="dxa" w:w="4536"/>
          </w:tcPr>
          <w:p>
            <w:r>
              <w:rPr>
                <w:rFonts w:ascii="Times New Roman" w:hAnsi="Times New Roman"/>
                <w:b/>
                <w:sz w:val="20"/>
              </w:rPr>
              <w:t>Steuernummer</w:t>
            </w:r>
          </w:p>
        </w:tc>
        <w:tc>
          <w:tcPr>
            <w:tcW w:type="dxa" w:w="4536"/>
          </w:tcPr>
          <w:p>
            <w:r>
              <w:rPr>
                <w:rFonts w:ascii="Times New Roman" w:hAnsi="Times New Roman"/>
                <w:sz w:val="20"/>
              </w:rPr>
              <w:t>RO 41 687 293</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Strada Buzești Nr. 74, Etaj 3, 011013 București, Rumänien</w:t>
            </w:r>
          </w:p>
        </w:tc>
      </w:tr>
      <w:tr>
        <w:tc>
          <w:tcPr>
            <w:tcW w:type="dxa" w:w="4536"/>
          </w:tcPr>
          <w:p>
            <w:r>
              <w:rPr>
                <w:rFonts w:ascii="Times New Roman" w:hAnsi="Times New Roman"/>
                <w:b/>
                <w:sz w:val="20"/>
              </w:rPr>
              <w:t>Verbindung zum Sachverhalt</w:t>
            </w:r>
          </w:p>
        </w:tc>
        <w:tc>
          <w:tcPr>
            <w:tcW w:type="dxa" w:w="4536"/>
          </w:tcPr>
          <w:p>
            <w:r>
              <w:rPr>
                <w:rFonts w:ascii="Times New Roman" w:hAnsi="Times New Roman"/>
                <w:sz w:val="20"/>
              </w:rPr>
              <w:t>Vertragspartner im Distributorvertrag; UBO ungeklärt</w:t>
            </w:r>
          </w:p>
        </w:tc>
      </w:tr>
    </w:tbl>
    <w:p>
      <w:pPr>
        <w:pStyle w:val="Heading3"/>
      </w:pPr>
      <w:r>
        <w:rPr>
          <w:rFonts w:ascii="Times New Roman" w:hAnsi="Times New Roman"/>
        </w:rPr>
        <w:t>Unternehmen 2: Blue Harbor Holdings Ltd.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Name</w:t>
            </w:r>
          </w:p>
        </w:tc>
        <w:tc>
          <w:tcPr>
            <w:tcW w:type="dxa" w:w="4536"/>
          </w:tcPr>
          <w:p>
            <w:r>
              <w:rPr>
                <w:rFonts w:ascii="Times New Roman" w:hAnsi="Times New Roman"/>
                <w:sz w:val="20"/>
              </w:rPr>
              <w:t>Blue Harbor Holdings Ltd.</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Private Company (zyprisches Recht)</w:t>
            </w:r>
          </w:p>
        </w:tc>
      </w:tr>
      <w:tr>
        <w:tc>
          <w:tcPr>
            <w:tcW w:type="dxa" w:w="4536"/>
          </w:tcPr>
          <w:p>
            <w:r>
              <w:rPr>
                <w:rFonts w:ascii="Times New Roman" w:hAnsi="Times New Roman"/>
                <w:b/>
                <w:sz w:val="20"/>
              </w:rPr>
              <w:t>Registernummer</w:t>
            </w:r>
          </w:p>
        </w:tc>
        <w:tc>
          <w:tcPr>
            <w:tcW w:type="dxa" w:w="4536"/>
          </w:tcPr>
          <w:p>
            <w:r>
              <w:rPr>
                <w:rFonts w:ascii="Times New Roman" w:hAnsi="Times New Roman"/>
                <w:sz w:val="20"/>
              </w:rPr>
              <w:t>HE 387421 (Department of Registrar of Companies, Nikosia)</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12 Demetriou Karatasou, Nikosia 2024, Zypern</w:t>
            </w:r>
          </w:p>
        </w:tc>
      </w:tr>
      <w:tr>
        <w:tc>
          <w:tcPr>
            <w:tcW w:type="dxa" w:w="4536"/>
          </w:tcPr>
          <w:p>
            <w:r>
              <w:rPr>
                <w:rFonts w:ascii="Times New Roman" w:hAnsi="Times New Roman"/>
                <w:b/>
                <w:sz w:val="20"/>
              </w:rPr>
              <w:t>Verbindung zum Sachverhalt</w:t>
            </w:r>
          </w:p>
        </w:tc>
        <w:tc>
          <w:tcPr>
            <w:tcW w:type="dxa" w:w="4536"/>
          </w:tcPr>
          <w:p>
            <w:r>
              <w:rPr>
                <w:rFonts w:ascii="Times New Roman" w:hAnsi="Times New Roman"/>
                <w:sz w:val="20"/>
              </w:rPr>
              <w:t>100 % Gesellschafter von Danube Trade Solutions SRL; natürlicher UBO unbekannt</w:t>
            </w:r>
          </w:p>
        </w:tc>
      </w:tr>
    </w:tbl>
    <w:p>
      <w:pPr>
        <w:pStyle w:val="Heading3"/>
      </w:pPr>
      <w:r>
        <w:rPr>
          <w:rFonts w:ascii="Times New Roman" w:hAnsi="Times New Roman"/>
        </w:rPr>
        <w:t>Unternehmen 3: Adriatic Commerce Ltd.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Name</w:t>
            </w:r>
          </w:p>
        </w:tc>
        <w:tc>
          <w:tcPr>
            <w:tcW w:type="dxa" w:w="4536"/>
          </w:tcPr>
          <w:p>
            <w:r>
              <w:rPr>
                <w:rFonts w:ascii="Times New Roman" w:hAnsi="Times New Roman"/>
                <w:sz w:val="20"/>
              </w:rPr>
              <w:t>Adriatic Commerce Ltd.</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Limited Company (maltesisches Recht)</w:t>
            </w:r>
          </w:p>
        </w:tc>
      </w:tr>
      <w:tr>
        <w:tc>
          <w:tcPr>
            <w:tcW w:type="dxa" w:w="4536"/>
          </w:tcPr>
          <w:p>
            <w:r>
              <w:rPr>
                <w:rFonts w:ascii="Times New Roman" w:hAnsi="Times New Roman"/>
                <w:b/>
                <w:sz w:val="20"/>
              </w:rPr>
              <w:t>Registernummer</w:t>
            </w:r>
          </w:p>
        </w:tc>
        <w:tc>
          <w:tcPr>
            <w:tcW w:type="dxa" w:w="4536"/>
          </w:tcPr>
          <w:p>
            <w:r>
              <w:rPr>
                <w:rFonts w:ascii="Times New Roman" w:hAnsi="Times New Roman"/>
                <w:sz w:val="20"/>
              </w:rPr>
              <w:t>C 74891 (MFSA Registry, Malta)</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Level 5, Triq San Dwardu, Valletta VLT 1400, Malta</w:t>
            </w:r>
          </w:p>
        </w:tc>
      </w:tr>
      <w:tr>
        <w:tc>
          <w:tcPr>
            <w:tcW w:type="dxa" w:w="4536"/>
          </w:tcPr>
          <w:p>
            <w:r>
              <w:rPr>
                <w:rFonts w:ascii="Times New Roman" w:hAnsi="Times New Roman"/>
                <w:b/>
                <w:sz w:val="20"/>
              </w:rPr>
              <w:t>Verbindung zum Sachverhalt</w:t>
            </w:r>
          </w:p>
        </w:tc>
        <w:tc>
          <w:tcPr>
            <w:tcW w:type="dxa" w:w="4536"/>
          </w:tcPr>
          <w:p>
            <w:r>
              <w:rPr>
                <w:rFonts w:ascii="Times New Roman" w:hAnsi="Times New Roman"/>
                <w:sz w:val="20"/>
              </w:rPr>
              <w:t>Drittzahler (187.500 EUR); verbundenes Unternehmen laut Selbstauskunft, kein Nachweis</w:t>
            </w:r>
          </w:p>
        </w:tc>
      </w:tr>
    </w:tbl>
    <w:p/>
    <w:p>
      <w:pPr>
        <w:pStyle w:val="Heading2"/>
      </w:pPr>
      <w:r>
        <w:rPr>
          <w:rFonts w:ascii="Times New Roman" w:hAnsi="Times New Roman"/>
        </w:rPr>
        <w:t>ABSCHNITT 3: VERDÄCHTIGE TRANSAKTION(EN)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Feld</w:t>
            </w:r>
          </w:p>
        </w:tc>
        <w:tc>
          <w:tcPr>
            <w:tcW w:type="dxa" w:w="3024"/>
          </w:tcPr>
          <w:p>
            <w:r>
              <w:rPr>
                <w:rFonts w:ascii="Times New Roman" w:hAnsi="Times New Roman"/>
                <w:b/>
                <w:sz w:val="20"/>
              </w:rPr>
              <w:t>Inhalt</w:t>
            </w:r>
          </w:p>
        </w:tc>
      </w:tr>
      <w:tr>
        <w:tc>
          <w:tcPr>
            <w:tcW w:type="dxa" w:w="3024"/>
          </w:tcPr>
          <w:p>
            <w:r>
              <w:rPr>
                <w:rFonts w:ascii="Times New Roman" w:hAnsi="Times New Roman"/>
                <w:sz w:val="20"/>
              </w:rPr>
              <w:t>T-01</w:t>
            </w:r>
          </w:p>
        </w:tc>
        <w:tc>
          <w:tcPr>
            <w:tcW w:type="dxa" w:w="3024"/>
          </w:tcPr>
          <w:p>
            <w:r>
              <w:rPr>
                <w:rFonts w:ascii="Times New Roman" w:hAnsi="Times New Roman"/>
                <w:b/>
                <w:sz w:val="20"/>
              </w:rPr>
              <w:t>Datum</w:t>
            </w:r>
          </w:p>
        </w:tc>
        <w:tc>
          <w:tcPr>
            <w:tcW w:type="dxa" w:w="3024"/>
          </w:tcPr>
          <w:p>
            <w:r>
              <w:rPr>
                <w:rFonts w:ascii="Times New Roman" w:hAnsi="Times New Roman"/>
                <w:sz w:val="20"/>
              </w:rPr>
              <w:t>28.04.2026</w:t>
            </w:r>
          </w:p>
        </w:tc>
      </w:tr>
      <w:tr>
        <w:tc>
          <w:tcPr>
            <w:tcW w:type="dxa" w:w="3024"/>
          </w:tcPr>
          <w:p>
            <w:r>
              <w:rPr>
                <w:rFonts w:ascii="Times New Roman" w:hAnsi="Times New Roman"/>
                <w:sz w:val="20"/>
              </w:rPr>
              <w:t>T-01</w:t>
            </w:r>
          </w:p>
        </w:tc>
        <w:tc>
          <w:tcPr>
            <w:tcW w:type="dxa" w:w="3024"/>
          </w:tcPr>
          <w:p>
            <w:r>
              <w:rPr>
                <w:rFonts w:ascii="Times New Roman" w:hAnsi="Times New Roman"/>
                <w:b/>
                <w:sz w:val="20"/>
              </w:rPr>
              <w:t>Betrag</w:t>
            </w:r>
          </w:p>
        </w:tc>
        <w:tc>
          <w:tcPr>
            <w:tcW w:type="dxa" w:w="3024"/>
          </w:tcPr>
          <w:p>
            <w:r>
              <w:rPr>
                <w:rFonts w:ascii="Times New Roman" w:hAnsi="Times New Roman"/>
                <w:sz w:val="20"/>
              </w:rPr>
              <w:t>187.500,00 EUR</w:t>
            </w:r>
          </w:p>
        </w:tc>
      </w:tr>
      <w:tr>
        <w:tc>
          <w:tcPr>
            <w:tcW w:type="dxa" w:w="3024"/>
          </w:tcPr>
          <w:p>
            <w:r>
              <w:rPr>
                <w:rFonts w:ascii="Times New Roman" w:hAnsi="Times New Roman"/>
                <w:sz w:val="20"/>
              </w:rPr>
              <w:t>T-01</w:t>
            </w:r>
          </w:p>
        </w:tc>
        <w:tc>
          <w:tcPr>
            <w:tcW w:type="dxa" w:w="3024"/>
          </w:tcPr>
          <w:p>
            <w:r>
              <w:rPr>
                <w:rFonts w:ascii="Times New Roman" w:hAnsi="Times New Roman"/>
                <w:b/>
                <w:sz w:val="20"/>
              </w:rPr>
              <w:t>Auftraggeber</w:t>
            </w:r>
          </w:p>
        </w:tc>
        <w:tc>
          <w:tcPr>
            <w:tcW w:type="dxa" w:w="3024"/>
          </w:tcPr>
          <w:p>
            <w:r>
              <w:rPr>
                <w:rFonts w:ascii="Times New Roman" w:hAnsi="Times New Roman"/>
                <w:sz w:val="20"/>
              </w:rPr>
              <w:t>Adriatic Commerce Ltd. (Malta)</w:t>
            </w:r>
          </w:p>
        </w:tc>
      </w:tr>
      <w:tr>
        <w:tc>
          <w:tcPr>
            <w:tcW w:type="dxa" w:w="3024"/>
          </w:tcPr>
          <w:p>
            <w:r>
              <w:rPr>
                <w:rFonts w:ascii="Times New Roman" w:hAnsi="Times New Roman"/>
                <w:sz w:val="20"/>
              </w:rPr>
              <w:t>T-01</w:t>
            </w:r>
          </w:p>
        </w:tc>
        <w:tc>
          <w:tcPr>
            <w:tcW w:type="dxa" w:w="3024"/>
          </w:tcPr>
          <w:p>
            <w:r>
              <w:rPr>
                <w:rFonts w:ascii="Times New Roman" w:hAnsi="Times New Roman"/>
                <w:b/>
                <w:sz w:val="20"/>
              </w:rPr>
              <w:t>Auftraggeber-IBAN</w:t>
            </w:r>
          </w:p>
        </w:tc>
        <w:tc>
          <w:tcPr>
            <w:tcW w:type="dxa" w:w="3024"/>
          </w:tcPr>
          <w:p>
            <w:r>
              <w:rPr>
                <w:rFonts w:ascii="Times New Roman" w:hAnsi="Times New Roman"/>
                <w:sz w:val="20"/>
              </w:rPr>
              <w:t>MT84 MALT 0110 0001 2345 MTLB 010</w:t>
            </w:r>
          </w:p>
        </w:tc>
      </w:tr>
      <w:tr>
        <w:tc>
          <w:tcPr>
            <w:tcW w:type="dxa" w:w="3024"/>
          </w:tcPr>
          <w:p>
            <w:r>
              <w:rPr>
                <w:rFonts w:ascii="Times New Roman" w:hAnsi="Times New Roman"/>
                <w:sz w:val="20"/>
              </w:rPr>
              <w:t>T-01</w:t>
            </w:r>
          </w:p>
        </w:tc>
        <w:tc>
          <w:tcPr>
            <w:tcW w:type="dxa" w:w="3024"/>
          </w:tcPr>
          <w:p>
            <w:r>
              <w:rPr>
                <w:rFonts w:ascii="Times New Roman" w:hAnsi="Times New Roman"/>
                <w:b/>
                <w:sz w:val="20"/>
              </w:rPr>
              <w:t>Auftraggeber-Bank</w:t>
            </w:r>
          </w:p>
        </w:tc>
        <w:tc>
          <w:tcPr>
            <w:tcW w:type="dxa" w:w="3024"/>
          </w:tcPr>
          <w:p>
            <w:r>
              <w:rPr>
                <w:rFonts w:ascii="Times New Roman" w:hAnsi="Times New Roman"/>
                <w:sz w:val="20"/>
              </w:rPr>
              <w:t>Bank of Valletta p.l.c., Valletta, Malta (BIC: VALLMTMT)</w:t>
            </w:r>
          </w:p>
        </w:tc>
      </w:tr>
      <w:tr>
        <w:tc>
          <w:tcPr>
            <w:tcW w:type="dxa" w:w="3024"/>
          </w:tcPr>
          <w:p>
            <w:r>
              <w:rPr>
                <w:rFonts w:ascii="Times New Roman" w:hAnsi="Times New Roman"/>
                <w:sz w:val="20"/>
              </w:rPr>
              <w:t>T-01</w:t>
            </w:r>
          </w:p>
        </w:tc>
        <w:tc>
          <w:tcPr>
            <w:tcW w:type="dxa" w:w="3024"/>
          </w:tcPr>
          <w:p>
            <w:r>
              <w:rPr>
                <w:rFonts w:ascii="Times New Roman" w:hAnsi="Times New Roman"/>
                <w:b/>
                <w:sz w:val="20"/>
              </w:rPr>
              <w:t>Empfänger</w:t>
            </w:r>
          </w:p>
        </w:tc>
        <w:tc>
          <w:tcPr>
            <w:tcW w:type="dxa" w:w="3024"/>
          </w:tcPr>
          <w:p>
            <w:r>
              <w:rPr>
                <w:rFonts w:ascii="Times New Roman" w:hAnsi="Times New Roman"/>
                <w:sz w:val="20"/>
              </w:rPr>
              <w:t>Musterholding GmbH</w:t>
            </w:r>
          </w:p>
        </w:tc>
      </w:tr>
      <w:tr>
        <w:tc>
          <w:tcPr>
            <w:tcW w:type="dxa" w:w="3024"/>
          </w:tcPr>
          <w:p>
            <w:r>
              <w:rPr>
                <w:rFonts w:ascii="Times New Roman" w:hAnsi="Times New Roman"/>
                <w:sz w:val="20"/>
              </w:rPr>
              <w:t>T-01</w:t>
            </w:r>
          </w:p>
        </w:tc>
        <w:tc>
          <w:tcPr>
            <w:tcW w:type="dxa" w:w="3024"/>
          </w:tcPr>
          <w:p>
            <w:r>
              <w:rPr>
                <w:rFonts w:ascii="Times New Roman" w:hAnsi="Times New Roman"/>
                <w:b/>
                <w:sz w:val="20"/>
              </w:rPr>
              <w:t>Empfänger-IBAN</w:t>
            </w:r>
          </w:p>
        </w:tc>
        <w:tc>
          <w:tcPr>
            <w:tcW w:type="dxa" w:w="3024"/>
          </w:tcPr>
          <w:p>
            <w:r>
              <w:rPr>
                <w:rFonts w:ascii="Times New Roman" w:hAnsi="Times New Roman"/>
                <w:sz w:val="20"/>
              </w:rPr>
              <w:t>DE44 5004 0000 0517 8837 00</w:t>
            </w:r>
          </w:p>
        </w:tc>
      </w:tr>
      <w:tr>
        <w:tc>
          <w:tcPr>
            <w:tcW w:type="dxa" w:w="3024"/>
          </w:tcPr>
          <w:p>
            <w:r>
              <w:rPr>
                <w:rFonts w:ascii="Times New Roman" w:hAnsi="Times New Roman"/>
                <w:sz w:val="20"/>
              </w:rPr>
              <w:t>T-01</w:t>
            </w:r>
          </w:p>
        </w:tc>
        <w:tc>
          <w:tcPr>
            <w:tcW w:type="dxa" w:w="3024"/>
          </w:tcPr>
          <w:p>
            <w:r>
              <w:rPr>
                <w:rFonts w:ascii="Times New Roman" w:hAnsi="Times New Roman"/>
                <w:b/>
                <w:sz w:val="20"/>
              </w:rPr>
              <w:t>Empfänger-Bank</w:t>
            </w:r>
          </w:p>
        </w:tc>
        <w:tc>
          <w:tcPr>
            <w:tcW w:type="dxa" w:w="3024"/>
          </w:tcPr>
          <w:p>
            <w:r>
              <w:rPr>
                <w:rFonts w:ascii="Times New Roman" w:hAnsi="Times New Roman"/>
                <w:sz w:val="20"/>
              </w:rPr>
              <w:t>Commerzbank AG Frankfurt (BIC: COBADEFFXXX)</w:t>
            </w:r>
          </w:p>
        </w:tc>
      </w:tr>
      <w:tr>
        <w:tc>
          <w:tcPr>
            <w:tcW w:type="dxa" w:w="3024"/>
          </w:tcPr>
          <w:p>
            <w:r>
              <w:rPr>
                <w:rFonts w:ascii="Times New Roman" w:hAnsi="Times New Roman"/>
                <w:sz w:val="20"/>
              </w:rPr>
              <w:t>T-01</w:t>
            </w:r>
          </w:p>
        </w:tc>
        <w:tc>
          <w:tcPr>
            <w:tcW w:type="dxa" w:w="3024"/>
          </w:tcPr>
          <w:p>
            <w:r>
              <w:rPr>
                <w:rFonts w:ascii="Times New Roman" w:hAnsi="Times New Roman"/>
                <w:b/>
                <w:sz w:val="20"/>
              </w:rPr>
              <w:t>Verwendungszweck</w:t>
            </w:r>
          </w:p>
        </w:tc>
        <w:tc>
          <w:tcPr>
            <w:tcW w:type="dxa" w:w="3024"/>
          </w:tcPr>
          <w:p>
            <w:r>
              <w:rPr>
                <w:rFonts w:ascii="Times New Roman" w:hAnsi="Times New Roman"/>
                <w:sz w:val="20"/>
              </w:rPr>
              <w:t>"Advance Payment – Contract MH-DTS-2026-04"</w:t>
            </w:r>
          </w:p>
        </w:tc>
      </w:tr>
      <w:tr>
        <w:tc>
          <w:tcPr>
            <w:tcW w:type="dxa" w:w="3024"/>
          </w:tcPr>
          <w:p>
            <w:r>
              <w:rPr>
                <w:rFonts w:ascii="Times New Roman" w:hAnsi="Times New Roman"/>
                <w:sz w:val="20"/>
              </w:rPr>
              <w:t>T-01</w:t>
            </w:r>
          </w:p>
        </w:tc>
        <w:tc>
          <w:tcPr>
            <w:tcW w:type="dxa" w:w="3024"/>
          </w:tcPr>
          <w:p>
            <w:r>
              <w:rPr>
                <w:rFonts w:ascii="Times New Roman" w:hAnsi="Times New Roman"/>
                <w:b/>
                <w:sz w:val="20"/>
              </w:rPr>
              <w:t>Zahlungsweg</w:t>
            </w:r>
          </w:p>
        </w:tc>
        <w:tc>
          <w:tcPr>
            <w:tcW w:type="dxa" w:w="3024"/>
          </w:tcPr>
          <w:p>
            <w:r>
              <w:rPr>
                <w:rFonts w:ascii="Times New Roman" w:hAnsi="Times New Roman"/>
                <w:sz w:val="20"/>
              </w:rPr>
              <w:t>SEPA-Überweisung</w:t>
            </w:r>
          </w:p>
        </w:tc>
      </w:tr>
      <w:tr>
        <w:tc>
          <w:tcPr>
            <w:tcW w:type="dxa" w:w="3024"/>
          </w:tcPr>
          <w:p>
            <w:r>
              <w:rPr>
                <w:rFonts w:ascii="Times New Roman" w:hAnsi="Times New Roman"/>
                <w:sz w:val="20"/>
              </w:rPr>
              <w:t>T-01</w:t>
            </w:r>
          </w:p>
        </w:tc>
        <w:tc>
          <w:tcPr>
            <w:tcW w:type="dxa" w:w="3024"/>
          </w:tcPr>
          <w:p>
            <w:r>
              <w:rPr>
                <w:rFonts w:ascii="Times New Roman" w:hAnsi="Times New Roman"/>
                <w:b/>
                <w:sz w:val="20"/>
              </w:rPr>
              <w:t>Status</w:t>
            </w:r>
          </w:p>
        </w:tc>
        <w:tc>
          <w:tcPr>
            <w:tcW w:type="dxa" w:w="3024"/>
          </w:tcPr>
          <w:p>
            <w:r>
              <w:rPr>
                <w:rFonts w:ascii="Times New Roman" w:hAnsi="Times New Roman"/>
                <w:sz w:val="20"/>
              </w:rPr>
              <w:t>Sichergestellt auf Sperrkonto; nicht verarbeitet</w:t>
            </w:r>
          </w:p>
        </w:tc>
      </w:tr>
    </w:tbl>
    <w:p/>
    <w:p>
      <w:pPr>
        <w:pStyle w:val="Heading2"/>
      </w:pPr>
      <w:r>
        <w:rPr>
          <w:rFonts w:ascii="Times New Roman" w:hAnsi="Times New Roman"/>
        </w:rPr>
        <w:t>ABSCHNITT 4: DARSTELLUNG DES VERDACHTSSACHVERHALTS</w:t>
      </w:r>
    </w:p>
    <w:p>
      <w:pPr>
        <w:pStyle w:val="Heading3"/>
      </w:pPr>
      <w:r>
        <w:rPr>
          <w:rFonts w:ascii="Times New Roman" w:hAnsi="Times New Roman"/>
        </w:rPr>
        <w:t>4.1 Ausgangslage</w:t>
      </w:r>
    </w:p>
    <w:p>
      <w:pPr>
        <w:jc w:val="left"/>
      </w:pPr>
      <w:r>
        <w:t>Im April 2026 nahm die Musterholding GmbH Verhandlungen mit der Danube Trade Solutions SRL (Bukarest, Rumänien) über einen Distributorvertrag für Industrieersatzteile auf. Das erwartete Jahresvolumen beläuft sich auf 2.400.000 EUR. Im Rahmen der regulären KYC-Prüfung wurden folgende Sachverhalte festgestellt:</w:t>
      </w:r>
    </w:p>
    <w:p>
      <w:pPr>
        <w:pStyle w:val="Heading3"/>
      </w:pPr>
      <w:r>
        <w:rPr>
          <w:rFonts w:ascii="Times New Roman" w:hAnsi="Times New Roman"/>
        </w:rPr>
        <w:t>4.2 Einzelne Verdachtsmomente</w:t>
      </w:r>
    </w:p>
    <w:p>
      <w:pPr>
        <w:jc w:val="left"/>
      </w:pPr>
      <w:r>
        <w:rPr>
          <w:b/>
        </w:rPr>
        <w:t>Verdachtsmoment 1 — Drittzahlung ohne Erklärung:</w:t>
      </w:r>
    </w:p>
    <w:p>
      <w:pPr>
        <w:jc w:val="left"/>
      </w:pPr>
      <w:r>
        <w:t>Am 28.04.2026 ging eine Vorauszahlung von 187.500 EUR auf dem Konto der Musterholding GmbH ein. Als Auftraggeber war nicht der Vertragspartner (Danube Trade Solutions SRL), sondern die Adriatic Commerce Ltd. (Malta) angegeben. Eine vertragliche Grundlage oder schriftliche Erklärung für diese Drittzahlung lag zu diesem Zeitpunkt nicht vor und wurde trotz Anfrage nicht vollständig nachgereicht. Die Verbindung zwischen Adriatic Commerce Ltd. und Danube Trade Solutions SRL beschränkt sich auf die mündliche Erklärung, es handele sich um ein "verbundenes Unternehmen".</w:t>
      </w:r>
    </w:p>
    <w:p>
      <w:pPr>
        <w:jc w:val="left"/>
      </w:pPr>
      <w:r>
        <w:rPr>
          <w:b/>
        </w:rPr>
        <w:t>Verdachtsmoment 2 — Ungeklärter wirtschaftlich Berechtigter:</w:t>
      </w:r>
    </w:p>
    <w:p>
      <w:pPr>
        <w:jc w:val="left"/>
      </w:pPr>
      <w:r>
        <w:t>Als Gesellschafter von Danube Trade Solutions SRL wurde die Blue Harbor Holdings Ltd. (Nikosia, Zypern) angegeben. Trotz zweier schriftlicher Anforderungen (16.04.2026 und 08.05.2026) wurde keine natürliche Person als wirtschaftlich Berechtigter benannt. Das zyprische Handelsregister weist lediglich einen Nominee Director aus. Die behauptete Treuhandkonstruktion wurde nicht dokumentiert.</w:t>
      </w:r>
    </w:p>
    <w:p>
      <w:pPr>
        <w:jc w:val="left"/>
      </w:pPr>
      <w:r>
        <w:rPr>
          <w:b/>
        </w:rPr>
        <w:t>Verdachtsmoment 3 — PEP-Nähe Geschäftsführer:</w:t>
      </w:r>
    </w:p>
    <w:p>
      <w:pPr>
        <w:jc w:val="left"/>
      </w:pPr>
      <w:r>
        <w:t>Der Geschäftsführer von Danube Trade Solutions SRL, Andrei Constantin Moldovan (geb. 14.02.1971), wies beim Screening über LSEG World-Check eine Namensähnlichkeit zu einem ehemaligen stellvertretenden rumänischen Wirtschaftsminister auf. Das Geburtsdatum weicht um zwei Jahre ab. Eine eindeutige Identitätsfeststellung konnte nicht herbeigeführt werden. Auf Anfrage legte Herr Moldovan eine eidesstattliche Erklärung vor, dass er kein PEP sei; unabhängige Verifikation dieser Erklärung ist nicht möglich.</w:t>
      </w:r>
    </w:p>
    <w:p>
      <w:pPr>
        <w:jc w:val="left"/>
      </w:pPr>
      <w:r>
        <w:rPr>
          <w:b/>
        </w:rPr>
        <w:t>Verdachtsmoment 4 — Fehlende wirtschaftliche Substanz:</w:t>
      </w:r>
    </w:p>
    <w:p>
      <w:pPr>
        <w:jc w:val="left"/>
      </w:pPr>
      <w:r>
        <w:t>Das Stammkapital von Danube Trade Solutions SRL beläuft sich auf 200 RON (ca. 40 EUR). Jahresabschlüsse wurden seit 2021 beim rumänischen Handelsregister nicht eingereicht. Trotzdem wird ein Jahresvolumen von 2.400.000 EUR in Aussicht gestellt. Nachweise über bestehende Kundenbeziehungen in Südosteuropa wurden nicht erbracht.</w:t>
      </w:r>
    </w:p>
    <w:p>
      <w:pPr>
        <w:jc w:val="left"/>
      </w:pPr>
      <w:r>
        <w:rPr>
          <w:b/>
        </w:rPr>
        <w:t>Verdachtsmoment 5 — Zeitdruck durch Vertrieb:</w:t>
      </w:r>
    </w:p>
    <w:p>
      <w:pPr>
        <w:jc w:val="left"/>
      </w:pPr>
      <w:r>
        <w:t>Der interne Vertrieb der Musterholding GmbH berichtete, dass Herr Moldovan mehrfach auf eine beschleunigte Freigabe der Zahlung und eine zügige Vertragsunterzeichnung gedrängt habe, obwohl die KYC-Prüfung noch nicht abgeschlossen war. Solcher Zeitdruck gilt nach den FATF-Leitlinien und der BaFin-AuA als eigenständiger Risikoindikator.</w:t>
      </w:r>
    </w:p>
    <w:p>
      <w:pPr>
        <w:jc w:val="left"/>
      </w:pPr>
      <w:r>
        <w:rPr>
          <w:b/>
        </w:rPr>
        <w:t>Verdachtsmoment 6 — Geographische Häufung von Hochrisikojurisdiktionen:</w:t>
      </w:r>
    </w:p>
    <w:p>
      <w:pPr>
        <w:jc w:val="left"/>
      </w:pPr>
      <w:r>
        <w:t>Die am Sachverhalt beteiligten Einheiten haben Bezüge zu Rumänien (Mittel), Zypern (Hoch) und Malta (Hoch). Alle drei Jurisdiktionen sind für Offshore-Konstruktionen und Briefkastengesellschaften bekannt. Die Kombination mit Drittzahlung und ungeklärtem UBO verdichtet das Risikobild.</w:t>
      </w:r>
    </w:p>
    <w:p>
      <w:pPr>
        <w:pStyle w:val="Heading3"/>
      </w:pPr>
      <w:r>
        <w:rPr>
          <w:rFonts w:ascii="Times New Roman" w:hAnsi="Times New Roman"/>
        </w:rPr>
        <w:t>4.3 Gesamtwürdigung</w:t>
      </w:r>
    </w:p>
    <w:p>
      <w:pPr>
        <w:jc w:val="left"/>
      </w:pPr>
      <w:r>
        <w:t>Keines der genannten Verdachtsmomente allein würde zwingend eine Verdachtsmeldung begründen. Jedoch liegt eine Kumulierung von sechs unabhängigen Risikoindikatoren vor, die in ihrer Gesamtheit auf mögliche Geldwäsche-Aktivitäten (§ 261 StGB) hindeuten. Insbesondere der Einsatz einer Drittzahlergesellschaft in einer Offshore-Jurisdiktion in Verbindung mit einem ungeklärten UBO entspricht dem typischen Erscheinungsbild des "Layering" (zweite Phase der Geldwäsche). Die Musterholding GmbH ist nach § 43 Abs. 1 GwG zur Meldung verpflichtet, da Tatsachen auf Geldwäsche hindeuten und keine eindeutige Widerlegung des Verdachts möglich ist.</w:t>
      </w:r>
    </w:p>
    <w:p>
      <w:pPr>
        <w:pStyle w:val="Heading3"/>
      </w:pPr>
      <w:r>
        <w:rPr>
          <w:rFonts w:ascii="Times New Roman" w:hAnsi="Times New Roman"/>
        </w:rPr>
        <w:t>4.4 Vortat-Hypothese</w:t>
      </w:r>
    </w:p>
    <w:p>
      <w:pPr>
        <w:jc w:val="left"/>
      </w:pPr>
      <w:r>
        <w:t>Nach derzeitigem Erkenntnisstand kann keine spezifische Vortat identifiziert werden. Als mögliche Vortaten kommen in Betracht: Korruption/Bestechung (§ 332 StGB) im Zusammenhang mit dem angedeuteten PEP-Status, Steuerhinterziehung im Ausland (§ 370 AO), Untreue oder Veruntreuung in ausländischem Kontext. Dies bleibt der Ermittlung durch die FIU vorbehalten.</w:t>
      </w:r>
    </w:p>
    <w:p/>
    <w:p>
      <w:pPr>
        <w:pStyle w:val="Heading2"/>
      </w:pPr>
      <w:r>
        <w:rPr>
          <w:rFonts w:ascii="Times New Roman" w:hAnsi="Times New Roman"/>
        </w:rPr>
        <w:t>ABSCHNITT 5: BISHERIGE MASSNAHMEN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Datum</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KYC-Verfahren eingeleitet</w:t>
            </w:r>
          </w:p>
        </w:tc>
        <w:tc>
          <w:tcPr>
            <w:tcW w:type="dxa" w:w="3024"/>
          </w:tcPr>
          <w:p>
            <w:r>
              <w:rPr>
                <w:rFonts w:ascii="Times New Roman" w:hAnsi="Times New Roman"/>
                <w:sz w:val="20"/>
              </w:rPr>
              <w:t>14.04.2026</w:t>
            </w:r>
          </w:p>
        </w:tc>
        <w:tc>
          <w:tcPr>
            <w:tcW w:type="dxa" w:w="3024"/>
          </w:tcPr>
          <w:p>
            <w:r>
              <w:rPr>
                <w:rFonts w:ascii="Times New Roman" w:hAnsi="Times New Roman"/>
                <w:sz w:val="20"/>
              </w:rPr>
              <w:t>Hochrisiko-Einstufung</w:t>
            </w:r>
          </w:p>
        </w:tc>
      </w:tr>
      <w:tr>
        <w:tc>
          <w:tcPr>
            <w:tcW w:type="dxa" w:w="3024"/>
          </w:tcPr>
          <w:p>
            <w:r>
              <w:rPr>
                <w:rFonts w:ascii="Times New Roman" w:hAnsi="Times New Roman"/>
                <w:sz w:val="20"/>
              </w:rPr>
              <w:t>Screening durchgeführt</w:t>
            </w:r>
          </w:p>
        </w:tc>
        <w:tc>
          <w:tcPr>
            <w:tcW w:type="dxa" w:w="3024"/>
          </w:tcPr>
          <w:p>
            <w:r>
              <w:rPr>
                <w:rFonts w:ascii="Times New Roman" w:hAnsi="Times New Roman"/>
                <w:sz w:val="20"/>
              </w:rPr>
              <w:t>22.04.2026</w:t>
            </w:r>
          </w:p>
        </w:tc>
        <w:tc>
          <w:tcPr>
            <w:tcW w:type="dxa" w:w="3024"/>
          </w:tcPr>
          <w:p>
            <w:r>
              <w:rPr>
                <w:rFonts w:ascii="Times New Roman" w:hAnsi="Times New Roman"/>
                <w:sz w:val="20"/>
              </w:rPr>
              <w:t>PEP-Treffer und Sanktionsähnlichkeit</w:t>
            </w:r>
          </w:p>
        </w:tc>
      </w:tr>
      <w:tr>
        <w:tc>
          <w:tcPr>
            <w:tcW w:type="dxa" w:w="3024"/>
          </w:tcPr>
          <w:p>
            <w:r>
              <w:rPr>
                <w:rFonts w:ascii="Times New Roman" w:hAnsi="Times New Roman"/>
                <w:sz w:val="20"/>
              </w:rPr>
              <w:t>Eskalation an GF</w:t>
            </w:r>
          </w:p>
        </w:tc>
        <w:tc>
          <w:tcPr>
            <w:tcW w:type="dxa" w:w="3024"/>
          </w:tcPr>
          <w:p>
            <w:r>
              <w:rPr>
                <w:rFonts w:ascii="Times New Roman" w:hAnsi="Times New Roman"/>
                <w:sz w:val="20"/>
              </w:rPr>
              <w:t>29.04.2026</w:t>
            </w:r>
          </w:p>
        </w:tc>
        <w:tc>
          <w:tcPr>
            <w:tcW w:type="dxa" w:w="3024"/>
          </w:tcPr>
          <w:p>
            <w:r>
              <w:rPr>
                <w:rFonts w:ascii="Times New Roman" w:hAnsi="Times New Roman"/>
                <w:sz w:val="20"/>
              </w:rPr>
              <w:t>Transaktionsstopp angeordnet</w:t>
            </w:r>
          </w:p>
        </w:tc>
      </w:tr>
      <w:tr>
        <w:tc>
          <w:tcPr>
            <w:tcW w:type="dxa" w:w="3024"/>
          </w:tcPr>
          <w:p>
            <w:r>
              <w:rPr>
                <w:rFonts w:ascii="Times New Roman" w:hAnsi="Times New Roman"/>
                <w:sz w:val="20"/>
              </w:rPr>
              <w:t>UBO-Anforderung I</w:t>
            </w:r>
          </w:p>
        </w:tc>
        <w:tc>
          <w:tcPr>
            <w:tcW w:type="dxa" w:w="3024"/>
          </w:tcPr>
          <w:p>
            <w:r>
              <w:rPr>
                <w:rFonts w:ascii="Times New Roman" w:hAnsi="Times New Roman"/>
                <w:sz w:val="20"/>
              </w:rPr>
              <w:t>16.04.2026</w:t>
            </w:r>
          </w:p>
        </w:tc>
        <w:tc>
          <w:tcPr>
            <w:tcW w:type="dxa" w:w="3024"/>
          </w:tcPr>
          <w:p>
            <w:r>
              <w:rPr>
                <w:rFonts w:ascii="Times New Roman" w:hAnsi="Times New Roman"/>
                <w:sz w:val="20"/>
              </w:rPr>
              <w:t>Keine vollständige Antwort</w:t>
            </w:r>
          </w:p>
        </w:tc>
      </w:tr>
      <w:tr>
        <w:tc>
          <w:tcPr>
            <w:tcW w:type="dxa" w:w="3024"/>
          </w:tcPr>
          <w:p>
            <w:r>
              <w:rPr>
                <w:rFonts w:ascii="Times New Roman" w:hAnsi="Times New Roman"/>
                <w:sz w:val="20"/>
              </w:rPr>
              <w:t>UBO-Anforderung II</w:t>
            </w:r>
          </w:p>
        </w:tc>
        <w:tc>
          <w:tcPr>
            <w:tcW w:type="dxa" w:w="3024"/>
          </w:tcPr>
          <w:p>
            <w:r>
              <w:rPr>
                <w:rFonts w:ascii="Times New Roman" w:hAnsi="Times New Roman"/>
                <w:sz w:val="20"/>
              </w:rPr>
              <w:t>08.05.2026</w:t>
            </w:r>
          </w:p>
        </w:tc>
        <w:tc>
          <w:tcPr>
            <w:tcW w:type="dxa" w:w="3024"/>
          </w:tcPr>
          <w:p>
            <w:r>
              <w:rPr>
                <w:rFonts w:ascii="Times New Roman" w:hAnsi="Times New Roman"/>
                <w:sz w:val="20"/>
              </w:rPr>
              <w:t>Keine Antwort</w:t>
            </w:r>
          </w:p>
        </w:tc>
      </w:tr>
      <w:tr>
        <w:tc>
          <w:tcPr>
            <w:tcW w:type="dxa" w:w="3024"/>
          </w:tcPr>
          <w:p>
            <w:r>
              <w:rPr>
                <w:rFonts w:ascii="Times New Roman" w:hAnsi="Times New Roman"/>
                <w:sz w:val="20"/>
              </w:rPr>
              <w:t>Mandatsgespräch Rechtsanwältin</w:t>
            </w:r>
          </w:p>
        </w:tc>
        <w:tc>
          <w:tcPr>
            <w:tcW w:type="dxa" w:w="3024"/>
          </w:tcPr>
          <w:p>
            <w:r>
              <w:rPr>
                <w:rFonts w:ascii="Times New Roman" w:hAnsi="Times New Roman"/>
                <w:sz w:val="20"/>
              </w:rPr>
              <w:t>05.05.2026</w:t>
            </w:r>
          </w:p>
        </w:tc>
        <w:tc>
          <w:tcPr>
            <w:tcW w:type="dxa" w:w="3024"/>
          </w:tcPr>
          <w:p>
            <w:r>
              <w:rPr>
                <w:rFonts w:ascii="Times New Roman" w:hAnsi="Times New Roman"/>
                <w:sz w:val="20"/>
              </w:rPr>
              <w:t>Verdachtsmeldung empfohlen</w:t>
            </w:r>
          </w:p>
        </w:tc>
      </w:tr>
      <w:tr>
        <w:tc>
          <w:tcPr>
            <w:tcW w:type="dxa" w:w="3024"/>
          </w:tcPr>
          <w:p>
            <w:r>
              <w:rPr>
                <w:rFonts w:ascii="Times New Roman" w:hAnsi="Times New Roman"/>
                <w:sz w:val="20"/>
              </w:rPr>
              <w:t>Transaktionsstopp</w:t>
            </w:r>
          </w:p>
        </w:tc>
        <w:tc>
          <w:tcPr>
            <w:tcW w:type="dxa" w:w="3024"/>
          </w:tcPr>
          <w:p>
            <w:r>
              <w:rPr>
                <w:rFonts w:ascii="Times New Roman" w:hAnsi="Times New Roman"/>
                <w:sz w:val="20"/>
              </w:rPr>
              <w:t>29.04.2026</w:t>
            </w:r>
          </w:p>
        </w:tc>
        <w:tc>
          <w:tcPr>
            <w:tcW w:type="dxa" w:w="3024"/>
          </w:tcPr>
          <w:p>
            <w:r>
              <w:rPr>
                <w:rFonts w:ascii="Times New Roman" w:hAnsi="Times New Roman"/>
                <w:sz w:val="20"/>
              </w:rPr>
              <w:t>Aktiv; Betrag auf Sperrkonto</w:t>
            </w:r>
          </w:p>
        </w:tc>
      </w:tr>
      <w:tr>
        <w:tc>
          <w:tcPr>
            <w:tcW w:type="dxa" w:w="3024"/>
          </w:tcPr>
          <w:p>
            <w:r>
              <w:rPr>
                <w:rFonts w:ascii="Times New Roman" w:hAnsi="Times New Roman"/>
                <w:sz w:val="20"/>
              </w:rPr>
              <w:t>Mittelherkunftsanforderung</w:t>
            </w:r>
          </w:p>
        </w:tc>
        <w:tc>
          <w:tcPr>
            <w:tcW w:type="dxa" w:w="3024"/>
          </w:tcPr>
          <w:p>
            <w:r>
              <w:rPr>
                <w:rFonts w:ascii="Times New Roman" w:hAnsi="Times New Roman"/>
                <w:sz w:val="20"/>
              </w:rPr>
              <w:t>16.05.2026</w:t>
            </w:r>
          </w:p>
        </w:tc>
        <w:tc>
          <w:tcPr>
            <w:tcW w:type="dxa" w:w="3024"/>
          </w:tcPr>
          <w:p>
            <w:r>
              <w:rPr>
                <w:rFonts w:ascii="Times New Roman" w:hAnsi="Times New Roman"/>
                <w:sz w:val="20"/>
              </w:rPr>
              <w:t>Ausstehend</w:t>
            </w:r>
          </w:p>
        </w:tc>
      </w:tr>
      <w:tr>
        <w:tc>
          <w:tcPr>
            <w:tcW w:type="dxa" w:w="3024"/>
          </w:tcPr>
          <w:p>
            <w:r>
              <w:rPr>
                <w:rFonts w:ascii="Times New Roman" w:hAnsi="Times New Roman"/>
                <w:b/>
                <w:sz w:val="20"/>
              </w:rPr>
              <w:t>Verdachtsmeldung</w:t>
            </w:r>
          </w:p>
        </w:tc>
        <w:tc>
          <w:tcPr>
            <w:tcW w:type="dxa" w:w="3024"/>
          </w:tcPr>
          <w:p>
            <w:r>
              <w:rPr>
                <w:rFonts w:ascii="Times New Roman" w:hAnsi="Times New Roman"/>
                <w:b/>
                <w:sz w:val="20"/>
              </w:rPr>
              <w:t>19.05.2026</w:t>
            </w:r>
          </w:p>
        </w:tc>
        <w:tc>
          <w:tcPr>
            <w:tcW w:type="dxa" w:w="3024"/>
          </w:tcPr>
          <w:p>
            <w:r>
              <w:rPr>
                <w:rFonts w:ascii="Times New Roman" w:hAnsi="Times New Roman"/>
                <w:b/>
                <w:sz w:val="20"/>
              </w:rPr>
              <w:t>Eingereicht via goAML</w:t>
            </w:r>
          </w:p>
        </w:tc>
      </w:tr>
    </w:tbl>
    <w:p/>
    <w:p>
      <w:pPr>
        <w:pStyle w:val="Heading2"/>
      </w:pPr>
      <w:r>
        <w:rPr>
          <w:rFonts w:ascii="Times New Roman" w:hAnsi="Times New Roman"/>
        </w:rPr>
        <w:t>ABSCHNITT 6: ANLAGEN</w:t>
      </w:r>
    </w:p>
    <w:p>
      <w:pPr>
        <w:pStyle w:val="ListNumber"/>
      </w:pPr>
      <w:r>
        <w:t>KYC-Formular Danube Trade Solutions SRL (KYC-MH-2026-0028)</w:t>
      </w:r>
    </w:p>
    <w:p>
      <w:pPr>
        <w:pStyle w:val="ListNumber"/>
      </w:pPr>
      <w:r>
        <w:t>UBO-Dokumentation (UBO-MH-2026-0028)</w:t>
      </w:r>
    </w:p>
    <w:p>
      <w:pPr>
        <w:pStyle w:val="ListNumber"/>
      </w:pPr>
      <w:r>
        <w:t>Screening-Protokoll (SCREEN-MH-2026-0028)</w:t>
      </w:r>
    </w:p>
    <w:p>
      <w:pPr>
        <w:pStyle w:val="ListNumber"/>
      </w:pPr>
      <w:r>
        <w:t>Transaktionsmonitoring-Alert-Bericht (TM-ALERT-2026-0047)</w:t>
      </w:r>
    </w:p>
    <w:p>
      <w:pPr>
        <w:pStyle w:val="ListNumber"/>
      </w:pPr>
      <w:r>
        <w:t>Kontoauszug Zahlungseingang 28.04.2026 (anonymisiert)</w:t>
      </w:r>
    </w:p>
    <w:p>
      <w:pPr>
        <w:pStyle w:val="ListNumber"/>
      </w:pPr>
      <w:r>
        <w:t>Reisepasskopie Andrei Moldovan (geschwärzt)</w:t>
      </w:r>
    </w:p>
    <w:p>
      <w:pPr>
        <w:pStyle w:val="ListNumber"/>
      </w:pPr>
      <w:r>
        <w:t>Registerauszug Danube Trade Solutions SRL (rumänisch + Übersetzung)</w:t>
      </w:r>
    </w:p>
    <w:p>
      <w:pPr>
        <w:pStyle w:val="ListNumber"/>
      </w:pPr>
      <w:r>
        <w:t>Registerauszug Blue Harbor Holdings Ltd. (englisch)</w:t>
      </w:r>
    </w:p>
    <w:p>
      <w:pPr>
        <w:pStyle w:val="ListNumber"/>
      </w:pPr>
      <w:r>
        <w:t>Korrespondenz Mittelherkunftsanforderung (2 Schreiben)</w:t>
      </w:r>
    </w:p>
    <w:p>
      <w:pPr>
        <w:pStyle w:val="ListNumber"/>
      </w:pPr>
      <w:r>
        <w:t>Interne Mandatsnotiz Rechtsanwältin Dr. Heller (05.05.2026)</w:t>
      </w:r>
    </w:p>
    <w:p/>
    <w:p>
      <w:pPr>
        <w:pStyle w:val="Heading2"/>
      </w:pPr>
      <w:r>
        <w:rPr>
          <w:rFonts w:ascii="Times New Roman" w:hAnsi="Times New Roman"/>
        </w:rPr>
        <w:t>ABSCHNITT 7: ERKLÄRUNG DES GELDWÄSCHEBEAUFTRAGTEN</w:t>
      </w:r>
    </w:p>
    <w:p>
      <w:pPr>
        <w:jc w:val="left"/>
      </w:pPr>
      <w:r>
        <w:t>Hiermit erkläre ich, Thomas Eckhardt, als bestellter Geldwäschebeauftragter der Musterholding GmbH, dass die vorstehenden Angaben nach bestem Wissen und Gewissen vollständig und wahrheitsgemäß sind. Die Verdachtsmeldung wird auf Grundlage von § 43 Abs. 1 GwG erstattet. Mir ist bekannt, dass eine gutgläubig abgegebene Verdachtsmeldung nach § 48 GwG keine Haftung des Meldenden begründet.</w:t>
      </w:r>
    </w:p>
    <w:p>
      <w:pPr>
        <w:jc w:val="left"/>
      </w:pPr>
      <w:r>
        <w:rPr>
          <w:b/>
        </w:rPr>
        <w:t>Frankfurt am Main, 19.05.2026</w:t>
      </w:r>
    </w:p>
    <w:p>
      <w:pPr>
        <w:jc w:val="left"/>
      </w:pPr>
      <w:r>
        <w:rPr>
          <w:b/>
        </w:rPr>
        <w:t>Thomas Eckhardt</w:t>
      </w:r>
    </w:p>
    <w:p>
      <w:pPr>
        <w:jc w:val="left"/>
      </w:pPr>
      <w:r>
        <w:t>Geldwäschebeauftragter</w:t>
      </w:r>
    </w:p>
    <w:p>
      <w:pPr>
        <w:jc w:val="left"/>
      </w:pPr>
      <w:r>
        <w:t>Musterholding GmbH</w:t>
      </w:r>
    </w:p>
    <w:p/>
    <w:p>
      <w:pPr>
        <w:jc w:val="left"/>
      </w:pPr>
      <w:r>
        <w:rPr>
          <w:i/>
        </w:rPr>
        <w:t>Verdachtsmeldung VM-MH-2026-0041 — Musterholding GmbH</w:t>
      </w:r>
    </w:p>
    <w:p>
      <w:pPr>
        <w:jc w:val="left"/>
      </w:pPr>
      <w:r>
        <w:rPr>
          <w:i/>
        </w:rPr>
        <w:t>goAML-Einreichung: 19.05.2026, 11:34 Uhr</w:t>
      </w:r>
    </w:p>
    <w:p>
      <w:pPr>
        <w:jc w:val="left"/>
      </w:pPr>
      <w:r>
        <w:rPr>
          <w:i/>
        </w:rPr>
        <w:t>Aufbewahrungsfrist: 5 Jahre (§ 8 Abs. 4 GwG)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Gutleutstraße 44, 60329 Frankfurt am 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