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Antwortschreiben an Regierungspräsidium Darmstadt – Auskunftsersuchen AML-Aufsicht</w:t>
      </w:r>
    </w:p>
    <w:p>
      <w:pPr>
        <w:ind w:left="567"/>
      </w:pPr>
      <w:r>
        <w:rPr>
          <w:b/>
          <w:i/>
        </w:rPr>
        <w:t>Musterholding GmbH</w:t>
      </w:r>
    </w:p>
    <w:p>
      <w:pPr>
        <w:ind w:left="567"/>
      </w:pPr>
      <w:r>
        <w:rPr>
          <w:i/>
        </w:rPr>
        <w:t>Gutleutstraße 44 · 60329 Frankfurt am Main</w:t>
      </w:r>
    </w:p>
    <w:p>
      <w:pPr>
        <w:ind w:left="567"/>
      </w:pPr>
      <w:r>
        <w:rPr>
          <w:i/>
        </w:rPr>
        <w:t>Vertreten durch RA Dr. Franziska Heller, Kanzlei Heller &amp; Schönfeld</w:t>
      </w:r>
    </w:p>
    <w:p>
      <w:pPr>
        <w:ind w:left="567"/>
      </w:pPr>
      <w:r>
        <w:rPr>
          <w:i/>
        </w:rPr>
        <w:t>Taunusanlage 8, 60329 Frankfurt am Main</w:t>
      </w:r>
    </w:p>
    <w:p>
      <w:pPr>
        <w:ind w:left="567"/>
      </w:pPr>
      <w:r>
        <w:rPr>
          <w:i/>
        </w:rPr>
        <w:t>Tel: +49 69 921 083 0 · kanzlei@heller-schoenfeld.de</w:t>
      </w:r>
    </w:p>
    <w:p>
      <w:pPr>
        <w:ind w:left="567"/>
      </w:pPr>
      <w:r>
        <w:rPr>
          <w:b/>
          <w:i/>
        </w:rPr>
        <w:t>An:</w:t>
      </w:r>
    </w:p>
    <w:p>
      <w:pPr>
        <w:ind w:left="567"/>
      </w:pPr>
      <w:r>
        <w:rPr>
          <w:i/>
        </w:rPr>
        <w:t>Regierungspräsidium Darmstadt</w:t>
      </w:r>
    </w:p>
    <w:p>
      <w:pPr>
        <w:ind w:left="567"/>
      </w:pPr>
      <w:r>
        <w:rPr>
          <w:i/>
        </w:rPr>
        <w:t>Referat IV/AML – Geldwäscheaufsicht Güterhändler</w:t>
      </w:r>
    </w:p>
    <w:p>
      <w:pPr>
        <w:ind w:left="567"/>
      </w:pPr>
      <w:r>
        <w:rPr>
          <w:i/>
        </w:rPr>
        <w:t>Wilhelminenstraße 1–3</w:t>
      </w:r>
    </w:p>
    <w:p>
      <w:pPr>
        <w:ind w:left="567"/>
      </w:pPr>
      <w:r>
        <w:rPr>
          <w:i/>
        </w:rPr>
        <w:t>64283 Darmstadt</w:t>
      </w:r>
    </w:p>
    <w:p>
      <w:pPr>
        <w:jc w:val="left"/>
      </w:pPr>
      <w:r>
        <w:rPr>
          <w:b/>
        </w:rPr>
        <w:t>Betreff:</w:t>
      </w:r>
      <w:r>
        <w:t xml:space="preserve"> Antwort auf Ihr Auskunftsersuchen vom 12.05.2026 – Az. RP-DA/IV-AML/2026/1847-MH</w:t>
      </w:r>
    </w:p>
    <w:p>
      <w:pPr>
        <w:jc w:val="left"/>
      </w:pPr>
      <w:r>
        <w:rPr>
          <w:b/>
        </w:rPr>
        <w:t>Unser Zeichen:</w:t>
      </w:r>
      <w:r>
        <w:t xml:space="preserve"> 2026/AML/047-MH / HE</w:t>
      </w:r>
    </w:p>
    <w:p>
      <w:pPr>
        <w:jc w:val="left"/>
      </w:pPr>
      <w:r>
        <w:rPr>
          <w:b/>
        </w:rPr>
        <w:t>Datum:</w:t>
      </w:r>
      <w:r>
        <w:t xml:space="preserve"> 02.06.2026</w:t>
      </w:r>
    </w:p>
    <w:p>
      <w:pPr>
        <w:jc w:val="left"/>
      </w:pPr>
      <w:r>
        <w:rPr>
          <w:b/>
        </w:rPr>
        <w:t>Per Einschreiben / Rückschein</w:t>
      </w:r>
    </w:p>
    <w:p/>
    <w:p>
      <w:pPr>
        <w:jc w:val="left"/>
      </w:pPr>
      <w:r>
        <w:t>Sehr geehrte Damen und Herren,</w:t>
      </w:r>
    </w:p>
    <w:p>
      <w:pPr>
        <w:jc w:val="left"/>
      </w:pPr>
      <w:r>
        <w:t>wir zeigen an, die Musterholding GmbH, Gutleutstraße 44, 60329 Frankfurt am Main, in ihrer Eigenschaft als Verpflichtete nach dem Geldwäschegesetz anwaltlich zu vertreten. Eine Vollmacht ist beigefügt (Anlage 1).</w:t>
      </w:r>
    </w:p>
    <w:p>
      <w:pPr>
        <w:jc w:val="left"/>
      </w:pPr>
      <w:r>
        <w:t>Mit Schreiben vom 12.05.2026, Az. RP-DA/IV-AML/2026/1847-MH, haben Sie gemäß § 51 Abs. 1 GwG i.V.m. §§ 16 ff. GwG folgende Unterlagen mit Frist 05.06.2026 angefordert:</w:t>
      </w:r>
    </w:p>
    <w:p>
      <w:pPr>
        <w:pStyle w:val="ListNumber"/>
      </w:pPr>
      <w:r>
        <w:t>Aktuelle Risikoanalyse gem. § 5 GwG</w:t>
      </w:r>
    </w:p>
    <w:p>
      <w:pPr>
        <w:pStyle w:val="ListNumber"/>
      </w:pPr>
      <w:r>
        <w:t>Nachweis der Bestellung des Geldwäschebeauftragten (§ 7 GwG)</w:t>
      </w:r>
    </w:p>
    <w:p>
      <w:pPr>
        <w:pStyle w:val="ListNumber"/>
      </w:pPr>
      <w:r>
        <w:t>Schulungsnachweise der letzten zwei Jahre (§ 6 Abs. 2 Nr. 6 GwG)</w:t>
      </w:r>
    </w:p>
    <w:p>
      <w:pPr>
        <w:pStyle w:val="ListNumber"/>
      </w:pPr>
      <w:r>
        <w:t>KYC-Unterlagen zu drei namentlich genannten Hochrisikokunden</w:t>
      </w:r>
    </w:p>
    <w:p>
      <w:pPr>
        <w:pStyle w:val="ListNumber"/>
      </w:pPr>
      <w:r>
        <w:t>Sanktionsscreening-Protokolle der letzten zwölf Monate</w:t>
      </w:r>
    </w:p>
    <w:p>
      <w:pPr>
        <w:jc w:val="left"/>
      </w:pPr>
      <w:r>
        <w:t>Wir antworten vollumfänglich wie folgt:</w:t>
      </w:r>
    </w:p>
    <w:p/>
    <w:p>
      <w:pPr>
        <w:pStyle w:val="Heading2"/>
      </w:pPr>
      <w:r>
        <w:rPr>
          <w:rFonts w:ascii="Times New Roman" w:hAnsi="Times New Roman"/>
        </w:rPr>
        <w:t>Zu 1. Risikoanalyse gem. § 5 GwG</w:t>
      </w:r>
    </w:p>
    <w:p>
      <w:pPr>
        <w:jc w:val="left"/>
      </w:pPr>
      <w:r>
        <w:t xml:space="preserve">Die Risikoanalyse der Musterholding GmbH wurde zuletzt am </w:t>
      </w:r>
      <w:r>
        <w:rPr>
          <w:b/>
        </w:rPr>
        <w:t>15.05.2026</w:t>
      </w:r>
      <w:r>
        <w:t xml:space="preserve"> vollständig überarbeitet, durch die Geschäftsführung genehmigt und tritt damit an die Stelle der Vorversion vom 15.03.2024. Wir übermitteln Ihnen die aktuelle Risikoanalyse (Dok.-Nr. RA-MH-2026-02) als </w:t>
      </w:r>
      <w:r>
        <w:rPr>
          <w:b/>
        </w:rPr>
        <w:t>Anlage 2</w:t>
      </w:r>
      <w:r>
        <w:t>.</w:t>
      </w:r>
    </w:p>
    <w:p>
      <w:pPr>
        <w:jc w:val="left"/>
      </w:pPr>
      <w:r>
        <w:t>Die Risikoanalyse umfasst:</w:t>
      </w:r>
    </w:p>
    <w:p>
      <w:pPr>
        <w:pStyle w:val="ListBullet"/>
      </w:pPr>
      <w:r>
        <w:t>Beschreibung aller Geschäftsbereiche der Musterholding GmbH und ihrer Tochtergesellschaft Musterholding Immobilien GmbH</w:t>
      </w:r>
    </w:p>
    <w:p>
      <w:pPr>
        <w:pStyle w:val="ListBullet"/>
      </w:pPr>
      <w:r>
        <w:t>Bewertung der Kundenrisiken, geografischen Risiken, Produkt- und Dienstleistungsrisiken sowie Vertriebskanalrisiken</w:t>
      </w:r>
    </w:p>
    <w:p>
      <w:pPr>
        <w:pStyle w:val="ListBullet"/>
      </w:pPr>
      <w:r>
        <w:t>Risikomatrix mit 15 identifizierten Risikofeldern (Bewertungsskala Eintrittswahrscheinlichkeit × Schadensausmaß)</w:t>
      </w:r>
    </w:p>
    <w:p>
      <w:pPr>
        <w:pStyle w:val="ListBullet"/>
      </w:pPr>
      <w:r>
        <w:t>Sonderabschnitt zum aktuellen Hochrisikovorgang (Danube Trade Solutions SRL)</w:t>
      </w:r>
    </w:p>
    <w:p>
      <w:pPr>
        <w:pStyle w:val="ListBullet"/>
      </w:pPr>
      <w:r>
        <w:t>Maßnahmenplan mit Verantwortlichkeiten und Terminen</w:t>
      </w:r>
    </w:p>
    <w:p>
      <w:pPr>
        <w:pStyle w:val="ListBullet"/>
      </w:pPr>
      <w:r>
        <w:t>Genehmigungs­vermerk Geschäftsführung (Klaus-Dieter Brenner, Sabine Wollner) sowie Geldwäschebeauftragter (Thomas Eckhardt)</w:t>
      </w:r>
    </w:p>
    <w:p>
      <w:pPr>
        <w:jc w:val="left"/>
      </w:pPr>
      <w:r>
        <w:t>Wir weisen darauf hin, dass die Vorgängerversion vom März 2024 anerkannte Defizite aufwies (fehlende Differenzierung nach Vertriebskanälen, pauschalierte Länderrisikobeurteilung). Diese Defizite wurden vollständig behoben.</w:t>
      </w:r>
    </w:p>
    <w:p/>
    <w:p>
      <w:pPr>
        <w:pStyle w:val="Heading2"/>
      </w:pPr>
      <w:r>
        <w:rPr>
          <w:rFonts w:ascii="Times New Roman" w:hAnsi="Times New Roman"/>
        </w:rPr>
        <w:t>Zu 2. Bestellung des Geldwäschebeauftragten gem. § 7 GwG</w:t>
      </w:r>
    </w:p>
    <w:p>
      <w:pPr>
        <w:jc w:val="left"/>
      </w:pPr>
      <w:r>
        <w:t xml:space="preserve">Herr </w:t>
      </w:r>
      <w:r>
        <w:rPr>
          <w:b/>
        </w:rPr>
        <w:t>Thomas Eckhardt</w:t>
      </w:r>
      <w:r>
        <w:t xml:space="preserve"> ist seit dem </w:t>
      </w:r>
      <w:r>
        <w:rPr>
          <w:b/>
        </w:rPr>
        <w:t>01.09.2023</w:t>
      </w:r>
      <w:r>
        <w:t xml:space="preserve"> als Geldwäschebeauftragter der Musterholding GmbH bestellt. Die Bestellungsurkunde sowie das Bestellungs-Protokoll der Gesellschafterversammlung übermitteln wir als </w:t>
      </w:r>
      <w:r>
        <w:rPr>
          <w:b/>
        </w:rPr>
        <w:t>Anlage 3</w:t>
      </w:r>
      <w:r>
        <w:t xml:space="preserve">. Herr Eckhardt erfüllt die Voraussetzungen des § 7 Abs. 4 GwG; seine einschlägige Qualifikation (Certified Anti-Money Laundering Specialist, ACAMS; Fortbildung BaFin-Sachkundeprüfung 2023) ist als </w:t>
      </w:r>
      <w:r>
        <w:rPr>
          <w:b/>
        </w:rPr>
        <w:t>Anlage 4</w:t>
      </w:r>
      <w:r>
        <w:t xml:space="preserve"> beigefügt.</w:t>
      </w:r>
    </w:p>
    <w:p>
      <w:pPr>
        <w:jc w:val="left"/>
      </w:pPr>
      <w:r>
        <w:t>Die Bestellungsurkunde enthält:</w:t>
      </w:r>
    </w:p>
    <w:p>
      <w:pPr>
        <w:pStyle w:val="ListBullet"/>
      </w:pPr>
      <w:r>
        <w:t>Name, Geburtsdatum und Funktion des Geldwäschebeauftragten</w:t>
      </w:r>
    </w:p>
    <w:p>
      <w:pPr>
        <w:pStyle w:val="ListBullet"/>
      </w:pPr>
      <w:r>
        <w:t>Datum der Bestellung</w:t>
      </w:r>
    </w:p>
    <w:p>
      <w:pPr>
        <w:pStyle w:val="ListBullet"/>
      </w:pPr>
      <w:r>
        <w:t>Unterschriften Geschäftsführer und Beauftragter</w:t>
      </w:r>
    </w:p>
    <w:p>
      <w:pPr>
        <w:pStyle w:val="ListBullet"/>
      </w:pPr>
      <w:r>
        <w:t>Beschreibung des Aufgabenbereichs und der Berichtslinien</w:t>
      </w:r>
    </w:p>
    <w:p/>
    <w:p>
      <w:pPr>
        <w:pStyle w:val="Heading2"/>
      </w:pPr>
      <w:r>
        <w:rPr>
          <w:rFonts w:ascii="Times New Roman" w:hAnsi="Times New Roman"/>
        </w:rPr>
        <w:t>Zu 3. Schulungsnachweise gem. § 6 Abs. 2 Nr. 6 GwG</w:t>
      </w:r>
    </w:p>
    <w:p>
      <w:pPr>
        <w:jc w:val="left"/>
      </w:pPr>
      <w:r>
        <w:t xml:space="preserve">Im Zeitraum </w:t>
      </w:r>
      <w:r>
        <w:rPr>
          <w:b/>
        </w:rPr>
        <w:t>01.06.2024 bis 26.05.2026</w:t>
      </w:r>
      <w:r>
        <w:t xml:space="preserve"> wurden folgende Schulungsmaßnahmen durchgeführt: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Datum</w:t>
            </w:r>
          </w:p>
        </w:tc>
        <w:tc>
          <w:tcPr>
            <w:tcW w:type="dxa" w:w="1814"/>
          </w:tcPr>
          <w:p>
            <w:r>
              <w:rPr>
                <w:rFonts w:ascii="Times New Roman" w:hAnsi="Times New Roman"/>
                <w:b/>
                <w:sz w:val="20"/>
              </w:rPr>
              <w:t>Schulung</w:t>
            </w:r>
          </w:p>
        </w:tc>
        <w:tc>
          <w:tcPr>
            <w:tcW w:type="dxa" w:w="1814"/>
          </w:tcPr>
          <w:p>
            <w:r>
              <w:rPr>
                <w:rFonts w:ascii="Times New Roman" w:hAnsi="Times New Roman"/>
                <w:b/>
                <w:sz w:val="20"/>
              </w:rPr>
              <w:t>Teilnehmer</w:t>
            </w:r>
          </w:p>
        </w:tc>
        <w:tc>
          <w:tcPr>
            <w:tcW w:type="dxa" w:w="1814"/>
          </w:tcPr>
          <w:p>
            <w:r>
              <w:rPr>
                <w:rFonts w:ascii="Times New Roman" w:hAnsi="Times New Roman"/>
                <w:b/>
                <w:sz w:val="20"/>
              </w:rPr>
              <w:t>Format</w:t>
            </w:r>
          </w:p>
        </w:tc>
        <w:tc>
          <w:tcPr>
            <w:tcW w:type="dxa" w:w="1814"/>
          </w:tcPr>
          <w:p>
            <w:r>
              <w:rPr>
                <w:rFonts w:ascii="Times New Roman" w:hAnsi="Times New Roman"/>
                <w:b/>
                <w:sz w:val="20"/>
              </w:rPr>
              <w:t>Nachweis</w:t>
            </w:r>
          </w:p>
        </w:tc>
      </w:tr>
      <w:tr>
        <w:tc>
          <w:tcPr>
            <w:tcW w:type="dxa" w:w="1814"/>
          </w:tcPr>
          <w:p>
            <w:r>
              <w:rPr>
                <w:rFonts w:ascii="Times New Roman" w:hAnsi="Times New Roman"/>
                <w:sz w:val="20"/>
              </w:rPr>
              <w:t>15.06.2024</w:t>
            </w:r>
          </w:p>
        </w:tc>
        <w:tc>
          <w:tcPr>
            <w:tcW w:type="dxa" w:w="1814"/>
          </w:tcPr>
          <w:p>
            <w:r>
              <w:rPr>
                <w:rFonts w:ascii="Times New Roman" w:hAnsi="Times New Roman"/>
                <w:sz w:val="20"/>
              </w:rPr>
              <w:t>GwG-Grundlagenschulung (E-Learning)</w:t>
            </w:r>
          </w:p>
        </w:tc>
        <w:tc>
          <w:tcPr>
            <w:tcW w:type="dxa" w:w="1814"/>
          </w:tcPr>
          <w:p>
            <w:r>
              <w:rPr>
                <w:rFonts w:ascii="Times New Roman" w:hAnsi="Times New Roman"/>
                <w:sz w:val="20"/>
              </w:rPr>
              <w:t>87 Mitarbeiter</w:t>
            </w:r>
          </w:p>
        </w:tc>
        <w:tc>
          <w:tcPr>
            <w:tcW w:type="dxa" w:w="1814"/>
          </w:tcPr>
          <w:p>
            <w:r>
              <w:rPr>
                <w:rFonts w:ascii="Times New Roman" w:hAnsi="Times New Roman"/>
                <w:sz w:val="20"/>
              </w:rPr>
              <w:t>Online-Modul</w:t>
            </w:r>
          </w:p>
        </w:tc>
        <w:tc>
          <w:tcPr>
            <w:tcW w:type="dxa" w:w="1814"/>
          </w:tcPr>
          <w:p>
            <w:r>
              <w:rPr>
                <w:rFonts w:ascii="Times New Roman" w:hAnsi="Times New Roman"/>
                <w:sz w:val="20"/>
              </w:rPr>
              <w:t>Anlage 5a</w:t>
            </w:r>
          </w:p>
        </w:tc>
      </w:tr>
      <w:tr>
        <w:tc>
          <w:tcPr>
            <w:tcW w:type="dxa" w:w="1814"/>
          </w:tcPr>
          <w:p>
            <w:r>
              <w:rPr>
                <w:rFonts w:ascii="Times New Roman" w:hAnsi="Times New Roman"/>
                <w:sz w:val="20"/>
              </w:rPr>
              <w:t>12.11.2024</w:t>
            </w:r>
          </w:p>
        </w:tc>
        <w:tc>
          <w:tcPr>
            <w:tcW w:type="dxa" w:w="1814"/>
          </w:tcPr>
          <w:p>
            <w:r>
              <w:rPr>
                <w:rFonts w:ascii="Times New Roman" w:hAnsi="Times New Roman"/>
                <w:sz w:val="20"/>
              </w:rPr>
              <w:t>PEP/Sanktionsscreening Workshop</w:t>
            </w:r>
          </w:p>
        </w:tc>
        <w:tc>
          <w:tcPr>
            <w:tcW w:type="dxa" w:w="1814"/>
          </w:tcPr>
          <w:p>
            <w:r>
              <w:rPr>
                <w:rFonts w:ascii="Times New Roman" w:hAnsi="Times New Roman"/>
                <w:sz w:val="20"/>
              </w:rPr>
              <w:t>14 Compliance/Vertrieb</w:t>
            </w:r>
          </w:p>
        </w:tc>
        <w:tc>
          <w:tcPr>
            <w:tcW w:type="dxa" w:w="1814"/>
          </w:tcPr>
          <w:p>
            <w:r>
              <w:rPr>
                <w:rFonts w:ascii="Times New Roman" w:hAnsi="Times New Roman"/>
                <w:sz w:val="20"/>
              </w:rPr>
              <w:t>Präsenz, Frankfurt</w:t>
            </w:r>
          </w:p>
        </w:tc>
        <w:tc>
          <w:tcPr>
            <w:tcW w:type="dxa" w:w="1814"/>
          </w:tcPr>
          <w:p>
            <w:r>
              <w:rPr>
                <w:rFonts w:ascii="Times New Roman" w:hAnsi="Times New Roman"/>
                <w:sz w:val="20"/>
              </w:rPr>
              <w:t>Anlage 5b</w:t>
            </w:r>
          </w:p>
        </w:tc>
      </w:tr>
      <w:tr>
        <w:tc>
          <w:tcPr>
            <w:tcW w:type="dxa" w:w="1814"/>
          </w:tcPr>
          <w:p>
            <w:r>
              <w:rPr>
                <w:rFonts w:ascii="Times New Roman" w:hAnsi="Times New Roman"/>
                <w:sz w:val="20"/>
              </w:rPr>
              <w:t>19.02.2025</w:t>
            </w:r>
          </w:p>
        </w:tc>
        <w:tc>
          <w:tcPr>
            <w:tcW w:type="dxa" w:w="1814"/>
          </w:tcPr>
          <w:p>
            <w:r>
              <w:rPr>
                <w:rFonts w:ascii="Times New Roman" w:hAnsi="Times New Roman"/>
                <w:sz w:val="20"/>
              </w:rPr>
              <w:t>Transaktionsmonitoring intern</w:t>
            </w:r>
          </w:p>
        </w:tc>
        <w:tc>
          <w:tcPr>
            <w:tcW w:type="dxa" w:w="1814"/>
          </w:tcPr>
          <w:p>
            <w:r>
              <w:rPr>
                <w:rFonts w:ascii="Times New Roman" w:hAnsi="Times New Roman"/>
                <w:sz w:val="20"/>
              </w:rPr>
              <w:t>8 Buchhaltung</w:t>
            </w:r>
          </w:p>
        </w:tc>
        <w:tc>
          <w:tcPr>
            <w:tcW w:type="dxa" w:w="1814"/>
          </w:tcPr>
          <w:p>
            <w:r>
              <w:rPr>
                <w:rFonts w:ascii="Times New Roman" w:hAnsi="Times New Roman"/>
                <w:sz w:val="20"/>
              </w:rPr>
              <w:t>Präsenz</w:t>
            </w:r>
          </w:p>
        </w:tc>
        <w:tc>
          <w:tcPr>
            <w:tcW w:type="dxa" w:w="1814"/>
          </w:tcPr>
          <w:p>
            <w:r>
              <w:rPr>
                <w:rFonts w:ascii="Times New Roman" w:hAnsi="Times New Roman"/>
                <w:sz w:val="20"/>
              </w:rPr>
              <w:t>Anlage 5c</w:t>
            </w:r>
          </w:p>
        </w:tc>
      </w:tr>
      <w:tr>
        <w:tc>
          <w:tcPr>
            <w:tcW w:type="dxa" w:w="1814"/>
          </w:tcPr>
          <w:p>
            <w:r>
              <w:rPr>
                <w:rFonts w:ascii="Times New Roman" w:hAnsi="Times New Roman"/>
                <w:sz w:val="20"/>
              </w:rPr>
              <w:t>26.05.2026</w:t>
            </w:r>
          </w:p>
        </w:tc>
        <w:tc>
          <w:tcPr>
            <w:tcW w:type="dxa" w:w="1814"/>
          </w:tcPr>
          <w:p>
            <w:r>
              <w:rPr>
                <w:rFonts w:ascii="Times New Roman" w:hAnsi="Times New Roman"/>
                <w:sz w:val="20"/>
              </w:rPr>
              <w:t>AML/KYC Refresher-Schulung</w:t>
            </w:r>
          </w:p>
        </w:tc>
        <w:tc>
          <w:tcPr>
            <w:tcW w:type="dxa" w:w="1814"/>
          </w:tcPr>
          <w:p>
            <w:r>
              <w:rPr>
                <w:rFonts w:ascii="Times New Roman" w:hAnsi="Times New Roman"/>
                <w:sz w:val="20"/>
              </w:rPr>
              <w:t>42 Mitarbeiter</w:t>
            </w:r>
          </w:p>
        </w:tc>
        <w:tc>
          <w:tcPr>
            <w:tcW w:type="dxa" w:w="1814"/>
          </w:tcPr>
          <w:p>
            <w:r>
              <w:rPr>
                <w:rFonts w:ascii="Times New Roman" w:hAnsi="Times New Roman"/>
                <w:sz w:val="20"/>
              </w:rPr>
              <w:t>Präsenz + Online</w:t>
            </w:r>
          </w:p>
        </w:tc>
        <w:tc>
          <w:tcPr>
            <w:tcW w:type="dxa" w:w="1814"/>
          </w:tcPr>
          <w:p>
            <w:r>
              <w:rPr>
                <w:rFonts w:ascii="Times New Roman" w:hAnsi="Times New Roman"/>
                <w:sz w:val="20"/>
              </w:rPr>
              <w:t>Anlage 5d</w:t>
            </w:r>
          </w:p>
        </w:tc>
      </w:tr>
    </w:tbl>
    <w:p>
      <w:pPr>
        <w:jc w:val="left"/>
      </w:pPr>
      <w:r>
        <w:t>Sämtliche Teilnehmerlisten mit Unterschriften sind als Anlagen 5a–5d beigefügt. Wir räumen ein, dass in den Jahren 2022 und 2023 Schulungsnachweise lückenhaft dokumentiert wurden; dies hat das interne Audit vom 28.05.2026 bestätigt. Die Schulungszyklen wurden nunmehr lückenlos auf eine jährliche Pflichtschulung umgestellt (zuletzt 26.05.2026).</w:t>
      </w:r>
    </w:p>
    <w:p/>
    <w:p>
      <w:pPr>
        <w:pStyle w:val="Heading2"/>
      </w:pPr>
      <w:r>
        <w:rPr>
          <w:rFonts w:ascii="Times New Roman" w:hAnsi="Times New Roman"/>
        </w:rPr>
        <w:t>Zu 4. KYC-Unterlagen zu den genannten Hochrisikokunden</w:t>
      </w:r>
    </w:p>
    <w:p>
      <w:pPr>
        <w:jc w:val="left"/>
      </w:pPr>
      <w:r>
        <w:t>Ihr Auskunftsersuchen benennt drei Kunden, zu denen KYC-Unterlagen angefordert werden (in Ihrem Schreiben als Kunden A, B und C bezeichnet):</w:t>
      </w:r>
    </w:p>
    <w:p>
      <w:pPr>
        <w:pStyle w:val="Heading3"/>
      </w:pPr>
      <w:r>
        <w:rPr>
          <w:rFonts w:ascii="Times New Roman" w:hAnsi="Times New Roman"/>
        </w:rPr>
        <w:t>Kunde A: Danube Trade Solutions SRL (Bukarest, Rumänien)</w:t>
      </w:r>
    </w:p>
    <w:p>
      <w:pPr>
        <w:jc w:val="left"/>
      </w:pPr>
      <w:r>
        <w:t xml:space="preserve">Zu diesem Kunden besteht ein laufendes Verdachtsprüfungsverfahren. Wir weisen vorsorglich darauf hin, dass wir am </w:t>
      </w:r>
      <w:r>
        <w:rPr>
          <w:b/>
        </w:rPr>
        <w:t>19.05.2026</w:t>
      </w:r>
      <w:r>
        <w:t xml:space="preserve"> eine Verdachtsmeldung nach § 43 GwG an die FIU (Bundeszollamt) erstattet haben (VM-MH-2026-0041). Gemäß § 47 GwG sind wir verpflichtet, über diese Meldung gegenüber dem Kunden Stillschweigen zu wahren. Gegenüber der Aufsichtsbehörde besteht diese Schweigepflicht nicht; die Verdachtsmeldungsunterlagen sowie alle KYC-Dokumente zu Danube Trade Solutions SRL übermitteln wir als </w:t>
      </w:r>
      <w:r>
        <w:rPr>
          <w:b/>
        </w:rPr>
        <w:t>Anlage 6</w:t>
      </w:r>
      <w:r>
        <w:t xml:space="preserve"> (KYC-Formular KYC-MH-2026-0028, UBO-Dokumentation, Screening-Protokoll, Transaktionsmonitoring-Alert).</w:t>
      </w:r>
    </w:p>
    <w:p>
      <w:pPr>
        <w:jc w:val="left"/>
      </w:pPr>
      <w:r>
        <w:t>Wir bitten um vertrauliche Behandlung der Angaben zur Verdachtsmeldung, da ein laufendes FIU-Verfahren nicht kompromittiert werden soll.</w:t>
      </w:r>
    </w:p>
    <w:p>
      <w:pPr>
        <w:pStyle w:val="Heading3"/>
      </w:pPr>
      <w:r>
        <w:rPr>
          <w:rFonts w:ascii="Times New Roman" w:hAnsi="Times New Roman"/>
        </w:rPr>
        <w:t>Kunde B: Baltic Engineering Group UAB (Vilnius, Litauen)</w:t>
      </w:r>
    </w:p>
    <w:p>
      <w:pPr>
        <w:jc w:val="left"/>
      </w:pPr>
      <w:r>
        <w:t xml:space="preserve">KYC-Unterlagen vollständig; letzter Update: 12.02.2026. Einstufung: Mittelrisiko. Kein PEP-Treffer, kein Sanktionstreffer. Anlagen als </w:t>
      </w:r>
      <w:r>
        <w:rPr>
          <w:b/>
        </w:rPr>
        <w:t>Anlage 7</w:t>
      </w:r>
      <w:r>
        <w:t>.</w:t>
      </w:r>
    </w:p>
    <w:p>
      <w:pPr>
        <w:pStyle w:val="Heading3"/>
      </w:pPr>
      <w:r>
        <w:rPr>
          <w:rFonts w:ascii="Times New Roman" w:hAnsi="Times New Roman"/>
        </w:rPr>
        <w:t>Kunde C: Mena Industrial Supplies LLC (Dubai, VAE)</w:t>
      </w:r>
    </w:p>
    <w:p>
      <w:pPr>
        <w:jc w:val="left"/>
      </w:pPr>
      <w:r>
        <w:t xml:space="preserve">KYC-Unterlagen zuletzt aktualisiert: 04.09.2025. Einstufung: Hoch (Länderrisiko VAE, erhöhte Sorgfalt). Verstärkte Sorgfaltsprüfung abgeschlossen; GF-Genehmigung liegt vor. Unterlagen als </w:t>
      </w:r>
      <w:r>
        <w:rPr>
          <w:b/>
        </w:rPr>
        <w:t>Anlage 8</w:t>
      </w:r>
      <w:r>
        <w:t>.</w:t>
      </w:r>
    </w:p>
    <w:p/>
    <w:p>
      <w:pPr>
        <w:pStyle w:val="Heading2"/>
      </w:pPr>
      <w:r>
        <w:rPr>
          <w:rFonts w:ascii="Times New Roman" w:hAnsi="Times New Roman"/>
        </w:rPr>
        <w:t>Zu 5. Sanktionsscreening-Protokolle</w:t>
      </w:r>
    </w:p>
    <w:p>
      <w:pPr>
        <w:jc w:val="left"/>
      </w:pPr>
      <w:r>
        <w:t xml:space="preserve">Das Sanktionsscreening wird bei der Musterholding GmbH systemseitig über LSEG World-Check One (täglicher automatischer Abgleich) sowie manuell anlassbezogen durchgeführt. Wir übermitteln als </w:t>
      </w:r>
      <w:r>
        <w:rPr>
          <w:b/>
        </w:rPr>
        <w:t>Anlage 9</w:t>
      </w:r>
      <w:r>
        <w:t xml:space="preserve"> die Screening-Protokolle der letzten zwölf Monate (01.05.2025 – 01.05.2026), umfassend:</w:t>
      </w:r>
    </w:p>
    <w:p>
      <w:pPr>
        <w:pStyle w:val="ListBullet"/>
      </w:pPr>
      <w:r>
        <w:t>Protokoll über alle generierten Treffer (10 im Berichtszeitraum)</w:t>
      </w:r>
    </w:p>
    <w:p>
      <w:pPr>
        <w:pStyle w:val="ListBullet"/>
      </w:pPr>
      <w:r>
        <w:t>Vier-Augen-Entscheidungen zu False-Positive-Freigaben</w:t>
      </w:r>
    </w:p>
    <w:p>
      <w:pPr>
        <w:pStyle w:val="ListBullet"/>
      </w:pPr>
      <w:r>
        <w:t>Protokoll zum aktuell laufenden Fall Danube Trade Solutions SRL / Blue Harbor Holdings Ltd.</w:t>
      </w:r>
    </w:p>
    <w:p>
      <w:pPr>
        <w:jc w:val="left"/>
      </w:pPr>
      <w:r>
        <w:t>Wir weisen auf ein vom internen Audit identifiziertes Defizit hin: Die Freigabe des Sanktionslisten-Treffers zu Blue Harbor Holdings Ltd. war bisher nicht vollständig im Vier-Augen-Verfahren dokumentiert. Dieser Mangel wurde am 28.05.2026 behoben; die rückwirkende Dokumentation und das Korrekturprotokoll sind der Anlage 9 beigefügt.</w:t>
      </w:r>
    </w:p>
    <w:p/>
    <w:p>
      <w:pPr>
        <w:pStyle w:val="Heading2"/>
      </w:pPr>
      <w:r>
        <w:rPr>
          <w:rFonts w:ascii="Times New Roman" w:hAnsi="Times New Roman"/>
        </w:rPr>
        <w:t>Ergänzende Mitteilungen</w:t>
      </w:r>
    </w:p>
    <w:p>
      <w:pPr>
        <w:jc w:val="left"/>
      </w:pPr>
      <w:r>
        <w:rPr>
          <w:b/>
        </w:rPr>
        <w:t>Zur Transparenzregister-Unstimmigkeit:</w:t>
      </w:r>
    </w:p>
    <w:p>
      <w:pPr>
        <w:jc w:val="left"/>
      </w:pPr>
      <w:r>
        <w:t>Am 08.05.2026 wurde für die Tochtergesellschaft Musterholding Immobilien GmbH eine Unstimmigkeit zwischen dem Transparenzregistereintrag und den tatsächlichen Eigentumsverhältnissen festgestellt. Eine Unstimmigkeitsmeldung nach § 23a GwG wurde am 10.05.2026 eingereicht. Der Korrekturantrag beim Transparenzregister befindet sich in Bearbeitung (Notar hat beurkundet; Antragseinreichung bis 22.05.2026 geplant).</w:t>
      </w:r>
    </w:p>
    <w:p>
      <w:pPr>
        <w:jc w:val="left"/>
      </w:pPr>
      <w:r>
        <w:rPr>
          <w:b/>
        </w:rPr>
        <w:t>Zu internen Verbesserungsmaßnahmen:</w:t>
      </w:r>
    </w:p>
    <w:p>
      <w:pPr>
        <w:jc w:val="left"/>
      </w:pPr>
      <w:r>
        <w:t>Auf Basis des internen Audit-Memos vom 28.05.2026 wurden fünf Defizite identifiziert und Abhilfemaßnahmen beschlossen (Anlage 10: Audit-Memo). Die Maßnahmenumsetzung erfolgt bis 30.06.2026.</w:t>
      </w:r>
    </w:p>
    <w:p/>
    <w:p>
      <w:pPr>
        <w:pStyle w:val="Heading2"/>
      </w:pPr>
      <w:r>
        <w:rPr>
          <w:rFonts w:ascii="Times New Roman" w:hAnsi="Times New Roman"/>
        </w:rPr>
        <w:t>Erklärung zum Umfang der Vorlage</w:t>
      </w:r>
    </w:p>
    <w:p>
      <w:pPr>
        <w:jc w:val="left"/>
      </w:pPr>
      <w:r>
        <w:t>Die Musterholding GmbH hat alle angeforderten Unterlagen vollständig vorgelegt. Wo auf laufende Verdachtsverfahren hingewiesen wird, bitte wir um behördeninterne Abstimmung mit der FIU, um eine parallele Verwertung sicherzustellen. Wir stehen für Rückfragen jederzeit zur Verfügung.</w:t>
      </w:r>
    </w:p>
    <w:p>
      <w:pPr>
        <w:jc w:val="left"/>
      </w:pPr>
      <w:r>
        <w:t>Mit freundlichen Grüßen</w:t>
      </w:r>
    </w:p>
    <w:p>
      <w:pPr>
        <w:jc w:val="left"/>
      </w:pPr>
      <w:r>
        <w:rPr>
          <w:b/>
        </w:rPr>
        <w:t>RA Dr. Franziska Heller</w:t>
      </w:r>
    </w:p>
    <w:p>
      <w:pPr>
        <w:jc w:val="left"/>
      </w:pPr>
      <w:r>
        <w:t>Kanzlei Heller &amp; Schönfeld</w:t>
      </w:r>
    </w:p>
    <w:p>
      <w:pPr>
        <w:jc w:val="left"/>
      </w:pPr>
      <w:r>
        <w:t>Im Auftrag der Musterholding GmbH</w:t>
      </w:r>
    </w:p>
    <w:p/>
    <w:p>
      <w:pPr>
        <w:jc w:val="left"/>
      </w:pPr>
      <w:r>
        <w:rPr>
          <w:b/>
        </w:rPr>
        <w:t>Anlagenverzeichnis:</w:t>
      </w:r>
    </w:p>
    <w:p>
      <w:pPr>
        <w:pStyle w:val="ListBullet"/>
      </w:pPr>
      <w:r>
        <w:t>Anlage 1: Vollmacht RA Dr. Heller (original)</w:t>
      </w:r>
    </w:p>
    <w:p>
      <w:pPr>
        <w:pStyle w:val="ListBullet"/>
      </w:pPr>
      <w:r>
        <w:t>Anlage 2: Risikoanalyse RA-MH-2026-02 (15.05.2026)</w:t>
      </w:r>
    </w:p>
    <w:p>
      <w:pPr>
        <w:pStyle w:val="ListBullet"/>
      </w:pPr>
      <w:r>
        <w:t>Anlage 3: Bestellungsurkunde GwB Thomas Eckhardt</w:t>
      </w:r>
    </w:p>
    <w:p>
      <w:pPr>
        <w:pStyle w:val="ListBullet"/>
      </w:pPr>
      <w:r>
        <w:t>Anlage 4: Qualifikationsnachweise Thomas Eckhardt (ACAMS, Sachkunde)</w:t>
      </w:r>
    </w:p>
    <w:p>
      <w:pPr>
        <w:pStyle w:val="ListBullet"/>
      </w:pPr>
      <w:r>
        <w:t>Anlage 5a–5d: Schulungsprotokolle und Teilnehmerlisten 2024–2026</w:t>
      </w:r>
    </w:p>
    <w:p>
      <w:pPr>
        <w:pStyle w:val="ListBullet"/>
      </w:pPr>
      <w:r>
        <w:t>Anlage 6: KYC-Paket Danube Trade Solutions SRL (inkl. Verdachtsmeldung VM-MH-2026-0041)</w:t>
      </w:r>
    </w:p>
    <w:p>
      <w:pPr>
        <w:pStyle w:val="ListBullet"/>
      </w:pPr>
      <w:r>
        <w:t>Anlage 7: KYC-Unterlagen Baltic Engineering Group UAB</w:t>
      </w:r>
    </w:p>
    <w:p>
      <w:pPr>
        <w:pStyle w:val="ListBullet"/>
      </w:pPr>
      <w:r>
        <w:t>Anlage 8: KYC-Unterlagen Mena Industrial Supplies LLC</w:t>
      </w:r>
    </w:p>
    <w:p>
      <w:pPr>
        <w:pStyle w:val="ListBullet"/>
      </w:pPr>
      <w:r>
        <w:t>Anlage 9: Sanktionsscreening-Protokolle 05/2025–05/2026</w:t>
      </w:r>
    </w:p>
    <w:p>
      <w:pPr>
        <w:pStyle w:val="ListBullet"/>
      </w:pPr>
      <w:r>
        <w:t>Anlage 10: Internes Audit-Memo 28.05.2026 inkl. Maßnahmenplan</w:t>
      </w:r>
    </w:p>
    <w:p/>
    <w:p>
      <w:pPr>
        <w:jc w:val="left"/>
      </w:pPr>
      <w:r>
        <w:rPr>
          <w:i/>
        </w:rPr>
        <w:t>Aktenzeichen Kanzlei: 2026/AML/047-MH — Kanzlei Heller &amp; Schönfeld</w:t>
      </w:r>
    </w:p>
    <w:p>
      <w:pPr>
        <w:jc w:val="left"/>
      </w:pPr>
      <w:r>
        <w:rPr>
          <w:i/>
        </w:rPr>
        <w:t>Aktenzeichen Behörde: RP-DA/IV-AML/2026/1847-MH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Antwortschreiben an Regierungspräsidium Darmstadt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Antwortschreiben an Regierungspräsidium Darmstadt</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