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Schulungsunterlage: Geldwäscheprävention, AML und KYC</w:t>
      </w:r>
    </w:p>
    <w:p>
      <w:pPr>
        <w:jc w:val="left"/>
      </w:pPr>
      <w:r>
        <w:rPr>
          <w:b/>
        </w:rPr>
        <w:t>Musterholding GmbH – Interne Schulung</w:t>
      </w:r>
    </w:p>
    <w:p>
      <w:pPr>
        <w:jc w:val="left"/>
      </w:pPr>
      <w:r>
        <w:rPr>
          <w:b/>
        </w:rPr>
        <w:t>Datum:</w:t>
      </w:r>
      <w:r>
        <w:t xml:space="preserve"> 26.05.2026 | </w:t>
      </w:r>
      <w:r>
        <w:rPr>
          <w:b/>
        </w:rPr>
        <w:t>Format:</w:t>
      </w:r>
      <w:r>
        <w:t xml:space="preserve"> Präsenz + Online-Zugang</w:t>
      </w:r>
    </w:p>
    <w:p>
      <w:pPr>
        <w:jc w:val="left"/>
      </w:pPr>
      <w:r>
        <w:rPr>
          <w:b/>
        </w:rPr>
        <w:t>Zielgruppe:</w:t>
      </w:r>
      <w:r>
        <w:t xml:space="preserve"> Alle Mitarbeiter mit Kundenkontakt, Buchhaltung, Vertrieb, Compliance (42 Personen)</w:t>
      </w:r>
    </w:p>
    <w:p>
      <w:pPr>
        <w:jc w:val="left"/>
      </w:pPr>
      <w:r>
        <w:rPr>
          <w:b/>
        </w:rPr>
        <w:t>Schulungsverantwortlicher:</w:t>
      </w:r>
      <w:r>
        <w:t xml:space="preserve"> Thomas Eckhardt (Geldwäschebeauftragter)</w:t>
      </w:r>
    </w:p>
    <w:p>
      <w:pPr>
        <w:jc w:val="left"/>
      </w:pPr>
      <w:r>
        <w:rPr>
          <w:b/>
        </w:rPr>
        <w:t>Dauer:</w:t>
      </w:r>
      <w:r>
        <w:t xml:space="preserve"> ca. 3,5 Stunden</w:t>
      </w:r>
    </w:p>
    <w:p>
      <w:pPr>
        <w:jc w:val="left"/>
      </w:pPr>
      <w:r>
        <w:rPr>
          <w:b/>
        </w:rPr>
        <w:t>Dokument-Nr.:</w:t>
      </w:r>
      <w:r>
        <w:t xml:space="preserve"> SCHULUNG-MH-2026-02</w:t>
      </w:r>
    </w:p>
    <w:p/>
    <w:p>
      <w:pPr>
        <w:pStyle w:val="Heading2"/>
      </w:pPr>
      <w:r>
        <w:rPr>
          <w:rFonts w:ascii="Times New Roman" w:hAnsi="Times New Roman"/>
        </w:rPr>
        <w:t>Modul 1: Grundlagen des Geldwäschegesetzes</w:t>
      </w:r>
    </w:p>
    <w:p>
      <w:pPr>
        <w:pStyle w:val="Heading3"/>
      </w:pPr>
      <w:r>
        <w:rPr>
          <w:rFonts w:ascii="Times New Roman" w:hAnsi="Times New Roman"/>
        </w:rPr>
        <w:t>1.1 Was ist Geldwäsche?</w:t>
      </w:r>
    </w:p>
    <w:p>
      <w:pPr>
        <w:jc w:val="left"/>
      </w:pPr>
      <w:r>
        <w:t>Geldwäsche (§ 261 StGB) ist die Einschleusung von Geldern oder Vermögenswerten, die aus Straftaten stammen, in den legalen Wirtschaftskreislauf. Das Ziel der Täter ist es, die kriminelle Herkunft zu verschleiern. Das klassische Drei-Phasen-Modell: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Phase</w:t>
            </w:r>
          </w:p>
        </w:tc>
        <w:tc>
          <w:tcPr>
            <w:tcW w:type="dxa" w:w="2268"/>
          </w:tcPr>
          <w:p>
            <w:r>
              <w:rPr>
                <w:rFonts w:ascii="Times New Roman" w:hAnsi="Times New Roman"/>
                <w:b/>
                <w:sz w:val="20"/>
              </w:rPr>
              <w:t>Bezeichnung</w:t>
            </w:r>
          </w:p>
        </w:tc>
        <w:tc>
          <w:tcPr>
            <w:tcW w:type="dxa" w:w="2268"/>
          </w:tcPr>
          <w:p>
            <w:r>
              <w:rPr>
                <w:rFonts w:ascii="Times New Roman" w:hAnsi="Times New Roman"/>
                <w:b/>
                <w:sz w:val="20"/>
              </w:rPr>
              <w:t>Beschreibung</w:t>
            </w:r>
          </w:p>
        </w:tc>
        <w:tc>
          <w:tcPr>
            <w:tcW w:type="dxa" w:w="2268"/>
          </w:tcPr>
          <w:p>
            <w:r>
              <w:rPr>
                <w:rFonts w:ascii="Times New Roman" w:hAnsi="Times New Roman"/>
                <w:b/>
                <w:sz w:val="20"/>
              </w:rPr>
              <w:t>Beispiel</w:t>
            </w:r>
          </w:p>
        </w:tc>
      </w:tr>
      <w:tr>
        <w:tc>
          <w:tcPr>
            <w:tcW w:type="dxa" w:w="2268"/>
          </w:tcPr>
          <w:p>
            <w:r>
              <w:rPr>
                <w:rFonts w:ascii="Times New Roman" w:hAnsi="Times New Roman"/>
                <w:sz w:val="20"/>
              </w:rPr>
              <w:t>1</w:t>
            </w:r>
          </w:p>
        </w:tc>
        <w:tc>
          <w:tcPr>
            <w:tcW w:type="dxa" w:w="2268"/>
          </w:tcPr>
          <w:p>
            <w:r>
              <w:rPr>
                <w:rFonts w:ascii="Times New Roman" w:hAnsi="Times New Roman"/>
                <w:b/>
                <w:sz w:val="20"/>
              </w:rPr>
              <w:t>Placement (Einschleusung)</w:t>
            </w:r>
          </w:p>
        </w:tc>
        <w:tc>
          <w:tcPr>
            <w:tcW w:type="dxa" w:w="2268"/>
          </w:tcPr>
          <w:p>
            <w:r>
              <w:rPr>
                <w:rFonts w:ascii="Times New Roman" w:hAnsi="Times New Roman"/>
                <w:sz w:val="20"/>
              </w:rPr>
              <w:t>Einbringen von Bargeld in das Finanzsystem</w:t>
            </w:r>
          </w:p>
        </w:tc>
        <w:tc>
          <w:tcPr>
            <w:tcW w:type="dxa" w:w="2268"/>
          </w:tcPr>
          <w:p>
            <w:r>
              <w:rPr>
                <w:rFonts w:ascii="Times New Roman" w:hAnsi="Times New Roman"/>
                <w:sz w:val="20"/>
              </w:rPr>
              <w:t>Bareinzahlung auf Bankkonto</w:t>
            </w:r>
          </w:p>
        </w:tc>
      </w:tr>
      <w:tr>
        <w:tc>
          <w:tcPr>
            <w:tcW w:type="dxa" w:w="2268"/>
          </w:tcPr>
          <w:p>
            <w:r>
              <w:rPr>
                <w:rFonts w:ascii="Times New Roman" w:hAnsi="Times New Roman"/>
                <w:sz w:val="20"/>
              </w:rPr>
              <w:t>2</w:t>
            </w:r>
          </w:p>
        </w:tc>
        <w:tc>
          <w:tcPr>
            <w:tcW w:type="dxa" w:w="2268"/>
          </w:tcPr>
          <w:p>
            <w:r>
              <w:rPr>
                <w:rFonts w:ascii="Times New Roman" w:hAnsi="Times New Roman"/>
                <w:b/>
                <w:sz w:val="20"/>
              </w:rPr>
              <w:t>Layering (Verschleierung)</w:t>
            </w:r>
          </w:p>
        </w:tc>
        <w:tc>
          <w:tcPr>
            <w:tcW w:type="dxa" w:w="2268"/>
          </w:tcPr>
          <w:p>
            <w:r>
              <w:rPr>
                <w:rFonts w:ascii="Times New Roman" w:hAnsi="Times New Roman"/>
                <w:sz w:val="20"/>
              </w:rPr>
              <w:t>Verdecken der Spur durch mehrere Transaktionen</w:t>
            </w:r>
          </w:p>
        </w:tc>
        <w:tc>
          <w:tcPr>
            <w:tcW w:type="dxa" w:w="2268"/>
          </w:tcPr>
          <w:p>
            <w:r>
              <w:rPr>
                <w:rFonts w:ascii="Times New Roman" w:hAnsi="Times New Roman"/>
                <w:sz w:val="20"/>
              </w:rPr>
              <w:t>Überweisungen über Briefkastengesellschaften</w:t>
            </w:r>
          </w:p>
        </w:tc>
      </w:tr>
      <w:tr>
        <w:tc>
          <w:tcPr>
            <w:tcW w:type="dxa" w:w="2268"/>
          </w:tcPr>
          <w:p>
            <w:r>
              <w:rPr>
                <w:rFonts w:ascii="Times New Roman" w:hAnsi="Times New Roman"/>
                <w:sz w:val="20"/>
              </w:rPr>
              <w:t>3</w:t>
            </w:r>
          </w:p>
        </w:tc>
        <w:tc>
          <w:tcPr>
            <w:tcW w:type="dxa" w:w="2268"/>
          </w:tcPr>
          <w:p>
            <w:r>
              <w:rPr>
                <w:rFonts w:ascii="Times New Roman" w:hAnsi="Times New Roman"/>
                <w:b/>
                <w:sz w:val="20"/>
              </w:rPr>
              <w:t>Integration</w:t>
            </w:r>
          </w:p>
        </w:tc>
        <w:tc>
          <w:tcPr>
            <w:tcW w:type="dxa" w:w="2268"/>
          </w:tcPr>
          <w:p>
            <w:r>
              <w:rPr>
                <w:rFonts w:ascii="Times New Roman" w:hAnsi="Times New Roman"/>
                <w:sz w:val="20"/>
              </w:rPr>
              <w:t>Einbringen in legale Wirtschaft</w:t>
            </w:r>
          </w:p>
        </w:tc>
        <w:tc>
          <w:tcPr>
            <w:tcW w:type="dxa" w:w="2268"/>
          </w:tcPr>
          <w:p>
            <w:r>
              <w:rPr>
                <w:rFonts w:ascii="Times New Roman" w:hAnsi="Times New Roman"/>
                <w:sz w:val="20"/>
              </w:rPr>
              <w:t>Kauf von Immobilien, Luxusgütern</w:t>
            </w:r>
          </w:p>
        </w:tc>
      </w:tr>
    </w:tbl>
    <w:p>
      <w:pPr>
        <w:jc w:val="left"/>
      </w:pPr>
      <w:r>
        <w:rPr>
          <w:b/>
        </w:rPr>
        <w:t>Warum betrifft das uns?</w:t>
      </w:r>
    </w:p>
    <w:p>
      <w:pPr>
        <w:jc w:val="left"/>
      </w:pPr>
      <w:r>
        <w:t>Die Musterholding GmbH nimmt im Rahmen ihres Güterhandels und ihrer Immobilientätigkeit Barzahlungen und internationale Überweisungen entgegen. Damit sind wir ein mögliches Ziel für Placement und Layering. Das Gesetz zwingt uns, aktiv zu verhindern, dass wir unwissentlich zum Werkzeug der Geldwäsche werden.</w:t>
      </w:r>
    </w:p>
    <w:p>
      <w:pPr>
        <w:pStyle w:val="Heading3"/>
      </w:pPr>
      <w:r>
        <w:rPr>
          <w:rFonts w:ascii="Times New Roman" w:hAnsi="Times New Roman"/>
        </w:rPr>
        <w:t>1.2 Unser Status als Verpflichteter</w:t>
      </w:r>
    </w:p>
    <w:p>
      <w:pPr>
        <w:jc w:val="left"/>
      </w:pPr>
      <w:r>
        <w:t xml:space="preserve">Wir sind nach § 2 Abs. 1 Nr. 16 GwG als </w:t>
      </w:r>
      <w:r>
        <w:rPr>
          <w:b/>
        </w:rPr>
        <w:t>Güterhändler</w:t>
      </w:r>
      <w:r>
        <w:t xml:space="preserve"> verpflichtet, weil wir Güter verkaufen und dabei Barzahlungen über </w:t>
      </w:r>
      <w:r>
        <w:rPr>
          <w:b/>
        </w:rPr>
        <w:t>10.000 EUR</w:t>
      </w:r>
      <w:r>
        <w:t xml:space="preserve"> entgegennehmen. Unsere Tochtergesellschaft Musterholding Immobilien GmbH ist nach § 2 Abs. 1 Nr. 14 GwG als Immobilienverwalterin zusätzlich verpflichtet.</w:t>
      </w:r>
    </w:p>
    <w:p>
      <w:pPr>
        <w:jc w:val="left"/>
      </w:pPr>
      <w:r>
        <w:t>Was bedeutet das konkret? Wir müssen:</w:t>
      </w:r>
    </w:p>
    <w:p>
      <w:pPr>
        <w:pStyle w:val="ListBullet"/>
      </w:pPr>
      <w:r>
        <w:t>Kunden identifizieren und dokumentieren</w:t>
      </w:r>
    </w:p>
    <w:p>
      <w:pPr>
        <w:pStyle w:val="ListBullet"/>
      </w:pPr>
      <w:r>
        <w:t>Hochrisikokonstellationen melden</w:t>
      </w:r>
    </w:p>
    <w:p>
      <w:pPr>
        <w:pStyle w:val="ListBullet"/>
      </w:pPr>
      <w:r>
        <w:t>Verdächtige Transaktionen stoppen und melden</w:t>
      </w:r>
    </w:p>
    <w:p>
      <w:pPr>
        <w:pStyle w:val="ListBullet"/>
      </w:pPr>
      <w:r>
        <w:t>Alle Mitarbeiter schulen (das hier!)</w:t>
      </w:r>
    </w:p>
    <w:p>
      <w:pPr>
        <w:pStyle w:val="ListBullet"/>
      </w:pPr>
      <w:r>
        <w:t>Eine aktuelle Risikoanalyse vorhalten</w:t>
      </w:r>
    </w:p>
    <w:p>
      <w:pPr>
        <w:pStyle w:val="Heading3"/>
      </w:pPr>
      <w:r>
        <w:rPr>
          <w:rFonts w:ascii="Times New Roman" w:hAnsi="Times New Roman"/>
        </w:rPr>
        <w:t>1.3 Was passiert bei Verstößen?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Verstoß</w:t>
            </w:r>
          </w:p>
        </w:tc>
        <w:tc>
          <w:tcPr>
            <w:tcW w:type="dxa" w:w="4536"/>
          </w:tcPr>
          <w:p>
            <w:r>
              <w:rPr>
                <w:rFonts w:ascii="Times New Roman" w:hAnsi="Times New Roman"/>
                <w:b/>
                <w:sz w:val="20"/>
              </w:rPr>
              <w:t>Mögliche Folge</w:t>
            </w:r>
          </w:p>
        </w:tc>
      </w:tr>
      <w:tr>
        <w:tc>
          <w:tcPr>
            <w:tcW w:type="dxa" w:w="4536"/>
          </w:tcPr>
          <w:p>
            <w:r>
              <w:rPr>
                <w:rFonts w:ascii="Times New Roman" w:hAnsi="Times New Roman"/>
                <w:sz w:val="20"/>
              </w:rPr>
              <w:t>Verdachtsmeldung nicht erstattet</w:t>
            </w:r>
          </w:p>
        </w:tc>
        <w:tc>
          <w:tcPr>
            <w:tcW w:type="dxa" w:w="4536"/>
          </w:tcPr>
          <w:p>
            <w:r>
              <w:rPr>
                <w:rFonts w:ascii="Times New Roman" w:hAnsi="Times New Roman"/>
                <w:sz w:val="20"/>
              </w:rPr>
              <w:t>Geldbuße bis 150.000 EUR (bis 1 Mio. EUR bei Wiederholung)</w:t>
            </w:r>
          </w:p>
        </w:tc>
      </w:tr>
      <w:tr>
        <w:tc>
          <w:tcPr>
            <w:tcW w:type="dxa" w:w="4536"/>
          </w:tcPr>
          <w:p>
            <w:r>
              <w:rPr>
                <w:rFonts w:ascii="Times New Roman" w:hAnsi="Times New Roman"/>
                <w:sz w:val="20"/>
              </w:rPr>
              <w:t>Beihilfe zur Geldwäsche</w:t>
            </w:r>
          </w:p>
        </w:tc>
        <w:tc>
          <w:tcPr>
            <w:tcW w:type="dxa" w:w="4536"/>
          </w:tcPr>
          <w:p>
            <w:r>
              <w:rPr>
                <w:rFonts w:ascii="Times New Roman" w:hAnsi="Times New Roman"/>
                <w:sz w:val="20"/>
              </w:rPr>
              <w:t>Strafbarkeit nach § 261 StGB (Freiheitsstrafe bis 5 Jahre)</w:t>
            </w:r>
          </w:p>
        </w:tc>
      </w:tr>
      <w:tr>
        <w:tc>
          <w:tcPr>
            <w:tcW w:type="dxa" w:w="4536"/>
          </w:tcPr>
          <w:p>
            <w:r>
              <w:rPr>
                <w:rFonts w:ascii="Times New Roman" w:hAnsi="Times New Roman"/>
                <w:sz w:val="20"/>
              </w:rPr>
              <w:t>Meldepflicht verletzt (§ 47 GwG Vertraulichkeit)</w:t>
            </w:r>
          </w:p>
        </w:tc>
        <w:tc>
          <w:tcPr>
            <w:tcW w:type="dxa" w:w="4536"/>
          </w:tcPr>
          <w:p>
            <w:r>
              <w:rPr>
                <w:rFonts w:ascii="Times New Roman" w:hAnsi="Times New Roman"/>
                <w:sz w:val="20"/>
              </w:rPr>
              <w:t>Geldbuße bis 150.000 EUR</w:t>
            </w:r>
          </w:p>
        </w:tc>
      </w:tr>
      <w:tr>
        <w:tc>
          <w:tcPr>
            <w:tcW w:type="dxa" w:w="4536"/>
          </w:tcPr>
          <w:p>
            <w:r>
              <w:rPr>
                <w:rFonts w:ascii="Times New Roman" w:hAnsi="Times New Roman"/>
                <w:sz w:val="20"/>
              </w:rPr>
              <w:t>Keine Schulungsdokumentation</w:t>
            </w:r>
          </w:p>
        </w:tc>
        <w:tc>
          <w:tcPr>
            <w:tcW w:type="dxa" w:w="4536"/>
          </w:tcPr>
          <w:p>
            <w:r>
              <w:rPr>
                <w:rFonts w:ascii="Times New Roman" w:hAnsi="Times New Roman"/>
                <w:sz w:val="20"/>
              </w:rPr>
              <w:t>Geldbuße bis 50.000 EUR</w:t>
            </w:r>
          </w:p>
        </w:tc>
      </w:tr>
    </w:tbl>
    <w:p/>
    <w:p>
      <w:pPr>
        <w:pStyle w:val="Heading2"/>
      </w:pPr>
      <w:r>
        <w:rPr>
          <w:rFonts w:ascii="Times New Roman" w:hAnsi="Times New Roman"/>
        </w:rPr>
        <w:t>Modul 2: Sorgfaltspflichten (KYC – Know Your Customer)</w:t>
      </w:r>
    </w:p>
    <w:p>
      <w:pPr>
        <w:pStyle w:val="Heading3"/>
      </w:pPr>
      <w:r>
        <w:rPr>
          <w:rFonts w:ascii="Times New Roman" w:hAnsi="Times New Roman"/>
        </w:rPr>
        <w:t>2.1 Was müssen wir bei Neukunden prüfen?</w:t>
      </w:r>
    </w:p>
    <w:p>
      <w:pPr>
        <w:jc w:val="left"/>
      </w:pPr>
      <w:r>
        <w:rPr>
          <w:b/>
        </w:rPr>
        <w:t>KYC</w:t>
      </w:r>
      <w:r>
        <w:t xml:space="preserve"> (Know Your Customer / Kenne deinen Kunden) ist die systematische Prüfung neuer und bestehender Geschäftspartner. Die Musterholding GmbH prüft bei jedem neuen Kunden:</w:t>
      </w:r>
    </w:p>
    <w:p>
      <w:pPr>
        <w:pStyle w:val="ListNumber"/>
      </w:pPr>
      <w:r>
        <w:rPr>
          <w:b/>
        </w:rPr>
        <w:t>Identifizierung</w:t>
      </w:r>
      <w:r>
        <w:t xml:space="preserve"> — Wer ist der Vertragspartner? (Handelsregisterauszug, Ausweiskopie GF)</w:t>
      </w:r>
    </w:p>
    <w:p>
      <w:pPr>
        <w:pStyle w:val="ListNumber"/>
      </w:pPr>
      <w:r>
        <w:rPr>
          <w:b/>
        </w:rPr>
        <w:t>UBO-Ermittlung</w:t>
      </w:r>
      <w:r>
        <w:t xml:space="preserve"> — Wer steht wirklich dahinter? (wirtschaftlich Berechtigter nach § 3 GwG)</w:t>
      </w:r>
    </w:p>
    <w:p>
      <w:pPr>
        <w:pStyle w:val="ListNumber"/>
      </w:pPr>
      <w:r>
        <w:rPr>
          <w:b/>
        </w:rPr>
        <w:t>Zweck der Geschäftsbeziehung</w:t>
      </w:r>
      <w:r>
        <w:t xml:space="preserve"> — Was ist der Sinn der Transaktion? Macht das wirtschaftlich Sinn?</w:t>
      </w:r>
    </w:p>
    <w:p>
      <w:pPr>
        <w:pStyle w:val="ListNumber"/>
      </w:pPr>
      <w:r>
        <w:rPr>
          <w:b/>
        </w:rPr>
        <w:t>PEP-Screening</w:t>
      </w:r>
      <w:r>
        <w:t xml:space="preserve"> — Ist der Kunde oder der Inhaber eine politisch exponierte Person?</w:t>
      </w:r>
    </w:p>
    <w:p>
      <w:pPr>
        <w:pStyle w:val="ListNumber"/>
      </w:pPr>
      <w:r>
        <w:rPr>
          <w:b/>
        </w:rPr>
        <w:t>Sanktionsscreening</w:t>
      </w:r>
      <w:r>
        <w:t xml:space="preserve"> — Steht der Kunde auf einer Sanktionsliste?</w:t>
      </w:r>
    </w:p>
    <w:p>
      <w:pPr>
        <w:pStyle w:val="ListNumber"/>
      </w:pPr>
      <w:r>
        <w:rPr>
          <w:b/>
        </w:rPr>
        <w:t>Risikobewertung</w:t>
      </w:r>
      <w:r>
        <w:t xml:space="preserve"> — Wie hoch ist das Geldwäscherisiko?</w:t>
      </w:r>
    </w:p>
    <w:p>
      <w:pPr>
        <w:pStyle w:val="Heading3"/>
      </w:pPr>
      <w:r>
        <w:rPr>
          <w:rFonts w:ascii="Times New Roman" w:hAnsi="Times New Roman"/>
        </w:rPr>
        <w:t>2.2 Was ist ein wirtschaftlich Berechtigter (UBO)?</w:t>
      </w:r>
    </w:p>
    <w:p>
      <w:pPr>
        <w:jc w:val="left"/>
      </w:pPr>
      <w:r>
        <w:rPr>
          <w:b/>
        </w:rPr>
        <w:t>UBO</w:t>
      </w:r>
      <w:r>
        <w:t xml:space="preserve"> = Ultimately Beneficial Owner (wirtschaftlich Berechtigter)</w:t>
      </w:r>
    </w:p>
    <w:p>
      <w:pPr>
        <w:jc w:val="left"/>
      </w:pPr>
      <w:r>
        <w:t xml:space="preserve">Das ist die natürliche Person, die am Ende der Beteiligungskette steht und tatsächlich von dem Unternehmen profitiert. Kriterium: mehr als </w:t>
      </w:r>
      <w:r>
        <w:rPr>
          <w:b/>
        </w:rPr>
        <w:t>25 % Anteile oder Stimmrechte</w:t>
      </w:r>
      <w:r>
        <w:t xml:space="preserve"> (§ 3 GwG).</w:t>
      </w:r>
    </w:p>
    <w:p>
      <w:pPr>
        <w:jc w:val="left"/>
      </w:pPr>
      <w:r>
        <w:rPr>
          <w:b/>
        </w:rPr>
        <w:t>Praxisbeispiel:</w:t>
      </w:r>
      <w:r>
        <w:t xml:space="preserve"> Ein Kunde sagt, Eigentümer sei eine GmbH in Zypern. Dahinter steckt eine weitere GmbH in Malta. Am Ende sitzt Herr Müller aus Köln. Herr Müller ist der UBO.</w:t>
      </w:r>
    </w:p>
    <w:p>
      <w:pPr>
        <w:jc w:val="left"/>
      </w:pPr>
      <w:r>
        <w:rPr>
          <w:b/>
        </w:rPr>
        <w:t>Warnsignal:</w:t>
      </w:r>
      <w:r>
        <w:t xml:space="preserve"> Wenn niemand den UBO nennen will oder Ketten von Offshore-Gesellschaften als Eigentümer angegeben werden, ist das ein Hochrisikoindikator.</w:t>
      </w:r>
    </w:p>
    <w:p>
      <w:pPr>
        <w:pStyle w:val="Heading3"/>
      </w:pPr>
      <w:r>
        <w:rPr>
          <w:rFonts w:ascii="Times New Roman" w:hAnsi="Times New Roman"/>
        </w:rPr>
        <w:t>2.3 Dreistufige Sorgfalt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Stufe</w:t>
            </w:r>
          </w:p>
        </w:tc>
        <w:tc>
          <w:tcPr>
            <w:tcW w:type="dxa" w:w="3024"/>
          </w:tcPr>
          <w:p>
            <w:r>
              <w:rPr>
                <w:rFonts w:ascii="Times New Roman" w:hAnsi="Times New Roman"/>
                <w:b/>
                <w:sz w:val="20"/>
              </w:rPr>
              <w:t>Wann?</w:t>
            </w:r>
          </w:p>
        </w:tc>
        <w:tc>
          <w:tcPr>
            <w:tcW w:type="dxa" w:w="3024"/>
          </w:tcPr>
          <w:p>
            <w:r>
              <w:rPr>
                <w:rFonts w:ascii="Times New Roman" w:hAnsi="Times New Roman"/>
                <w:b/>
                <w:sz w:val="20"/>
              </w:rPr>
              <w:t>Maßnahmen</w:t>
            </w:r>
          </w:p>
        </w:tc>
      </w:tr>
      <w:tr>
        <w:tc>
          <w:tcPr>
            <w:tcW w:type="dxa" w:w="3024"/>
          </w:tcPr>
          <w:p>
            <w:r>
              <w:rPr>
                <w:rFonts w:ascii="Times New Roman" w:hAnsi="Times New Roman"/>
                <w:b/>
                <w:sz w:val="20"/>
              </w:rPr>
              <w:t>Vereinfacht</w:t>
            </w:r>
          </w:p>
        </w:tc>
        <w:tc>
          <w:tcPr>
            <w:tcW w:type="dxa" w:w="3024"/>
          </w:tcPr>
          <w:p>
            <w:r>
              <w:rPr>
                <w:rFonts w:ascii="Times New Roman" w:hAnsi="Times New Roman"/>
                <w:sz w:val="20"/>
              </w:rPr>
              <w:t>Niedrigrisiko, z.B. börsennotierte Gesellschaft</w:t>
            </w:r>
          </w:p>
        </w:tc>
        <w:tc>
          <w:tcPr>
            <w:tcW w:type="dxa" w:w="3024"/>
          </w:tcPr>
          <w:p>
            <w:r>
              <w:rPr>
                <w:rFonts w:ascii="Times New Roman" w:hAnsi="Times New Roman"/>
                <w:sz w:val="20"/>
              </w:rPr>
              <w:t>Reduzierte Identifizierungspflicht</w:t>
            </w:r>
          </w:p>
        </w:tc>
      </w:tr>
      <w:tr>
        <w:tc>
          <w:tcPr>
            <w:tcW w:type="dxa" w:w="3024"/>
          </w:tcPr>
          <w:p>
            <w:r>
              <w:rPr>
                <w:rFonts w:ascii="Times New Roman" w:hAnsi="Times New Roman"/>
                <w:b/>
                <w:sz w:val="20"/>
              </w:rPr>
              <w:t>Standard</w:t>
            </w:r>
          </w:p>
        </w:tc>
        <w:tc>
          <w:tcPr>
            <w:tcW w:type="dxa" w:w="3024"/>
          </w:tcPr>
          <w:p>
            <w:r>
              <w:rPr>
                <w:rFonts w:ascii="Times New Roman" w:hAnsi="Times New Roman"/>
                <w:sz w:val="20"/>
              </w:rPr>
              <w:t>Normale neue Geschäftspartner</w:t>
            </w:r>
          </w:p>
        </w:tc>
        <w:tc>
          <w:tcPr>
            <w:tcW w:type="dxa" w:w="3024"/>
          </w:tcPr>
          <w:p>
            <w:r>
              <w:rPr>
                <w:rFonts w:ascii="Times New Roman" w:hAnsi="Times New Roman"/>
                <w:sz w:val="20"/>
              </w:rPr>
              <w:t>Vollständige Identifizierung, UBO, Zweckklärung</w:t>
            </w:r>
          </w:p>
        </w:tc>
      </w:tr>
      <w:tr>
        <w:tc>
          <w:tcPr>
            <w:tcW w:type="dxa" w:w="3024"/>
          </w:tcPr>
          <w:p>
            <w:r>
              <w:rPr>
                <w:rFonts w:ascii="Times New Roman" w:hAnsi="Times New Roman"/>
                <w:b/>
                <w:sz w:val="20"/>
              </w:rPr>
              <w:t>Verstärkt</w:t>
            </w:r>
          </w:p>
        </w:tc>
        <w:tc>
          <w:tcPr>
            <w:tcW w:type="dxa" w:w="3024"/>
          </w:tcPr>
          <w:p>
            <w:r>
              <w:rPr>
                <w:rFonts w:ascii="Times New Roman" w:hAnsi="Times New Roman"/>
                <w:sz w:val="20"/>
              </w:rPr>
              <w:t>PEP, Hochrisikoland, Drittzahler, hoher Wert</w:t>
            </w:r>
          </w:p>
        </w:tc>
        <w:tc>
          <w:tcPr>
            <w:tcW w:type="dxa" w:w="3024"/>
          </w:tcPr>
          <w:p>
            <w:r>
              <w:rPr>
                <w:rFonts w:ascii="Times New Roman" w:hAnsi="Times New Roman"/>
                <w:sz w:val="20"/>
              </w:rPr>
              <w:t>GF muss genehmigen; Mittelherkunft klären; laufendes Monitoring</w:t>
            </w:r>
          </w:p>
        </w:tc>
      </w:tr>
    </w:tbl>
    <w:p/>
    <w:p>
      <w:pPr>
        <w:pStyle w:val="Heading2"/>
      </w:pPr>
      <w:r>
        <w:rPr>
          <w:rFonts w:ascii="Times New Roman" w:hAnsi="Times New Roman"/>
        </w:rPr>
        <w:t>Modul 3: PEP und Sanktionslisten</w:t>
      </w:r>
    </w:p>
    <w:p>
      <w:pPr>
        <w:pStyle w:val="Heading3"/>
      </w:pPr>
      <w:r>
        <w:rPr>
          <w:rFonts w:ascii="Times New Roman" w:hAnsi="Times New Roman"/>
        </w:rPr>
        <w:t>3.1 Was ist ein PEP?</w:t>
      </w:r>
    </w:p>
    <w:p>
      <w:pPr>
        <w:jc w:val="left"/>
      </w:pPr>
      <w:r>
        <w:rPr>
          <w:b/>
        </w:rPr>
        <w:t>PEP</w:t>
      </w:r>
      <w:r>
        <w:t xml:space="preserve"> = Politically Exposed Person (Politisch exponierte Person) nach § 1 Abs. 12 GwG.</w:t>
      </w:r>
    </w:p>
    <w:p>
      <w:pPr>
        <w:jc w:val="left"/>
      </w:pPr>
      <w:r>
        <w:t>Dazu gehören:</w:t>
      </w:r>
    </w:p>
    <w:p>
      <w:pPr>
        <w:pStyle w:val="ListBullet"/>
      </w:pPr>
      <w:r>
        <w:t>Staatsoberhäupter, Regierungsmitglieder, Minister und Staatssekretäre</w:t>
      </w:r>
    </w:p>
    <w:p>
      <w:pPr>
        <w:pStyle w:val="ListBullet"/>
      </w:pPr>
      <w:r>
        <w:t>Parlamentsmitglieder</w:t>
      </w:r>
    </w:p>
    <w:p>
      <w:pPr>
        <w:pStyle w:val="ListBullet"/>
      </w:pPr>
      <w:r>
        <w:t>Höchste Richter und Staatsanwälte</w:t>
      </w:r>
    </w:p>
    <w:p>
      <w:pPr>
        <w:pStyle w:val="ListBullet"/>
      </w:pPr>
      <w:r>
        <w:t>Leitende Notenbanker und Rechnungshofmitglieder</w:t>
      </w:r>
    </w:p>
    <w:p>
      <w:pPr>
        <w:pStyle w:val="ListBullet"/>
      </w:pPr>
      <w:r>
        <w:t>Botschafter</w:t>
      </w:r>
    </w:p>
    <w:p>
      <w:pPr>
        <w:pStyle w:val="ListBullet"/>
      </w:pPr>
      <w:r>
        <w:rPr>
          <w:b/>
        </w:rPr>
        <w:t>Familienangehörige</w:t>
      </w:r>
      <w:r>
        <w:t xml:space="preserve"> und </w:t>
      </w:r>
      <w:r>
        <w:rPr>
          <w:b/>
        </w:rPr>
        <w:t>bekannte enge Geschäftspartner</w:t>
      </w:r>
      <w:r>
        <w:t xml:space="preserve"> von PEP</w:t>
      </w:r>
    </w:p>
    <w:p>
      <w:pPr>
        <w:jc w:val="left"/>
      </w:pPr>
      <w:r>
        <w:t xml:space="preserve">Wichtig: Auch </w:t>
      </w:r>
      <w:r>
        <w:rPr>
          <w:b/>
        </w:rPr>
        <w:t>ehemalige</w:t>
      </w:r>
      <w:r>
        <w:t xml:space="preserve"> PEP sind für eine gewisse Zeit besonders zu behandeln (mindestens ein Jahr nach Ende des Amtes, in der Praxis oft länger).</w:t>
      </w:r>
    </w:p>
    <w:p>
      <w:pPr>
        <w:jc w:val="left"/>
      </w:pPr>
      <w:r>
        <w:rPr>
          <w:b/>
        </w:rPr>
        <w:t>Warum sind PEP riskanter?</w:t>
      </w:r>
      <w:r>
        <w:t xml:space="preserve"> Weil sie durch ihre Stellung eher Zugang zu Korruptionsgeldern haben und diese waschen könnten.</w:t>
      </w:r>
    </w:p>
    <w:p>
      <w:pPr>
        <w:pStyle w:val="Heading3"/>
      </w:pPr>
      <w:r>
        <w:rPr>
          <w:rFonts w:ascii="Times New Roman" w:hAnsi="Times New Roman"/>
        </w:rPr>
        <w:t>3.2 Was tun bei einem Screening-Treffer?</w:t>
      </w:r>
    </w:p>
    <w:p>
      <w:pPr>
        <w:pStyle w:val="ListNumber"/>
      </w:pPr>
      <w:r>
        <w:rPr>
          <w:b/>
        </w:rPr>
        <w:t>Nicht ignorieren</w:t>
      </w:r>
      <w:r>
        <w:t xml:space="preserve"> — Jeder Treffer muss dokumentiert werden.</w:t>
      </w:r>
    </w:p>
    <w:p>
      <w:pPr>
        <w:pStyle w:val="ListNumber"/>
      </w:pPr>
      <w:r>
        <w:rPr>
          <w:b/>
        </w:rPr>
        <w:t>Vier-Augen-Prinzip</w:t>
      </w:r>
      <w:r>
        <w:t xml:space="preserve"> — GwB und Geschäftsführer entscheiden gemeinsam.</w:t>
      </w:r>
    </w:p>
    <w:p>
      <w:pPr>
        <w:pStyle w:val="ListNumber"/>
      </w:pPr>
      <w:r>
        <w:rPr>
          <w:b/>
        </w:rPr>
        <w:t>False Positive dokumentieren</w:t>
      </w:r>
      <w:r>
        <w:t xml:space="preserve"> — Wenn es kein echter Treffer ist, schriftlich begründen warum.</w:t>
      </w:r>
    </w:p>
    <w:p>
      <w:pPr>
        <w:pStyle w:val="ListNumber"/>
      </w:pPr>
      <w:r>
        <w:rPr>
          <w:b/>
        </w:rPr>
        <w:t>Bei echtem PEP:</w:t>
      </w:r>
      <w:r>
        <w:t xml:space="preserve"> Genehmigung der Geschäftsführung einholen, Mittelherkunft klären.</w:t>
      </w:r>
    </w:p>
    <w:p>
      <w:pPr>
        <w:pStyle w:val="ListNumber"/>
      </w:pPr>
      <w:r>
        <w:rPr>
          <w:b/>
        </w:rPr>
        <w:t>Protokoll</w:t>
      </w:r>
      <w:r>
        <w:t xml:space="preserve"> — Jede Entscheidung ist aktenkundig zu machen.</w:t>
      </w:r>
    </w:p>
    <w:p>
      <w:pPr>
        <w:jc w:val="left"/>
      </w:pPr>
      <w:r>
        <w:rPr>
          <w:b/>
        </w:rPr>
        <w:t>Niemals selbst entscheiden:</w:t>
      </w:r>
      <w:r>
        <w:t xml:space="preserve"> Screening-Entscheidungen dürfen nie allein vom Vertrieb getroffen werden. Immer Compliance einschalten.</w:t>
      </w:r>
    </w:p>
    <w:p/>
    <w:p>
      <w:pPr>
        <w:pStyle w:val="Heading2"/>
      </w:pPr>
      <w:r>
        <w:rPr>
          <w:rFonts w:ascii="Times New Roman" w:hAnsi="Times New Roman"/>
        </w:rPr>
        <w:t>Modul 4: Rote Flaggen – Wann müssen Sie handeln?</w:t>
      </w:r>
    </w:p>
    <w:p>
      <w:pPr>
        <w:jc w:val="left"/>
      </w:pPr>
      <w:r>
        <w:t xml:space="preserve">Die folgenden Warnsignale sind sogenannte </w:t>
      </w:r>
      <w:r>
        <w:rPr>
          <w:b/>
        </w:rPr>
        <w:t>Red Flags</w:t>
      </w:r>
      <w:r>
        <w:t>. Wenn Sie eine davon bemerken, melden Sie es sofort an den Geldwäschebeauftragten (Thomas Eckhardt, t.eckhardt@musterholding.de, Durchwahl -291).</w:t>
      </w:r>
    </w:p>
    <w:p>
      <w:pPr>
        <w:pStyle w:val="Heading3"/>
      </w:pPr>
      <w:r>
        <w:rPr>
          <w:rFonts w:ascii="Times New Roman" w:hAnsi="Times New Roman"/>
        </w:rPr>
        <w:t>Red Flags bei Kunden</w:t>
      </w:r>
    </w:p>
    <w:p>
      <w:pPr>
        <w:pStyle w:val="ListBullet"/>
      </w:pPr>
      <w:r>
        <w:t>Kunde kann oder will den wirtschaftlich Berechtigten nicht nennen</w:t>
      </w:r>
    </w:p>
    <w:p>
      <w:pPr>
        <w:pStyle w:val="ListBullet"/>
      </w:pPr>
      <w:r>
        <w:t>Kunde drängt auf ungewöhnlich schnelle Abwicklung</w:t>
      </w:r>
    </w:p>
    <w:p>
      <w:pPr>
        <w:pStyle w:val="ListBullet"/>
      </w:pPr>
      <w:r>
        <w:t>Adresse oder Registrierung in bekannten Steueroasen (Kaimaninseln, Britische Jungferninseln, Seychellen, Malta, Zypern — besondere Aufmerksamkeit)</w:t>
      </w:r>
    </w:p>
    <w:p>
      <w:pPr>
        <w:pStyle w:val="ListBullet"/>
      </w:pPr>
      <w:r>
        <w:t>Stammkapital und erwartetes Umsatzvolumen passen nicht zusammen (z.B. 200 EUR Kapital, aber 2 Mio. EUR Auftrag)</w:t>
      </w:r>
    </w:p>
    <w:p>
      <w:pPr>
        <w:pStyle w:val="ListBullet"/>
      </w:pPr>
      <w:r>
        <w:t>Keine nachweisliche Unternehmenstätigkeit (keine Website, keine Referenzen, keine Jahresabschlüsse)</w:t>
      </w:r>
    </w:p>
    <w:p>
      <w:pPr>
        <w:pStyle w:val="ListBullet"/>
      </w:pPr>
      <w:r>
        <w:t>PEP-ähnliche Personen im Umfeld des Kunden</w:t>
      </w:r>
    </w:p>
    <w:p>
      <w:pPr>
        <w:pStyle w:val="Heading3"/>
      </w:pPr>
      <w:r>
        <w:rPr>
          <w:rFonts w:ascii="Times New Roman" w:hAnsi="Times New Roman"/>
        </w:rPr>
        <w:t>Red Flags bei Zahlungen</w:t>
      </w:r>
    </w:p>
    <w:p>
      <w:pPr>
        <w:pStyle w:val="ListBullet"/>
      </w:pPr>
      <w:r>
        <w:t>Zahlung kommt von jemand anderem als dem Vertragspartner (</w:t>
      </w:r>
      <w:r>
        <w:rPr>
          <w:b/>
        </w:rPr>
        <w:t>Drittzahlung</w:t>
      </w:r>
      <w:r>
        <w:t>)</w:t>
      </w:r>
    </w:p>
    <w:p>
      <w:pPr>
        <w:pStyle w:val="ListBullet"/>
      </w:pPr>
      <w:r>
        <w:t xml:space="preserve">Zahlung knapp unter einer runden Schwelle (z.B. 9.900 EUR statt 10.000 EUR) — mögliches </w:t>
      </w:r>
      <w:r>
        <w:rPr>
          <w:b/>
        </w:rPr>
        <w:t>Structuring</w:t>
      </w:r>
    </w:p>
    <w:p>
      <w:pPr>
        <w:pStyle w:val="ListBullet"/>
      </w:pPr>
      <w:r>
        <w:t>Zahlung aus einem Hochrisikoland ohne erklärbaren Grund</w:t>
      </w:r>
    </w:p>
    <w:p>
      <w:pPr>
        <w:pStyle w:val="ListBullet"/>
      </w:pPr>
      <w:r>
        <w:t>Bareinzahlungen hoher Beträge</w:t>
      </w:r>
    </w:p>
    <w:p>
      <w:pPr>
        <w:pStyle w:val="ListBullet"/>
      </w:pPr>
      <w:r>
        <w:t>Mehrere kleine Zahlungen kurz hintereinander vom selben Auftraggeber</w:t>
      </w:r>
    </w:p>
    <w:p>
      <w:pPr>
        <w:pStyle w:val="Heading3"/>
      </w:pPr>
      <w:r>
        <w:rPr>
          <w:rFonts w:ascii="Times New Roman" w:hAnsi="Times New Roman"/>
        </w:rPr>
        <w:t>Red Flags im Verhalten</w:t>
      </w:r>
    </w:p>
    <w:p>
      <w:pPr>
        <w:pStyle w:val="ListBullet"/>
      </w:pPr>
      <w:r>
        <w:t>Vertriebspartner oder Kunde bittet, keine schriftliche Dokumentation zu erstellen</w:t>
      </w:r>
    </w:p>
    <w:p>
      <w:pPr>
        <w:pStyle w:val="ListBullet"/>
      </w:pPr>
      <w:r>
        <w:t>Jemand bietet an, für "schnelle Freigabe" zu zahlen</w:t>
      </w:r>
    </w:p>
    <w:p>
      <w:pPr>
        <w:pStyle w:val="ListBullet"/>
      </w:pPr>
      <w:r>
        <w:t>Unklare oder wechselnde Erklärungen zum Geschäftszweck</w:t>
      </w:r>
    </w:p>
    <w:p/>
    <w:p>
      <w:pPr>
        <w:pStyle w:val="Heading2"/>
      </w:pPr>
      <w:r>
        <w:rPr>
          <w:rFonts w:ascii="Times New Roman" w:hAnsi="Times New Roman"/>
        </w:rPr>
        <w:t>Modul 5: Was tun bei Verdacht?</w:t>
      </w:r>
    </w:p>
    <w:p>
      <w:pPr>
        <w:pStyle w:val="Heading3"/>
      </w:pPr>
      <w:r>
        <w:rPr>
          <w:rFonts w:ascii="Times New Roman" w:hAnsi="Times New Roman"/>
        </w:rPr>
        <w:t>5.1 Meldekette</w:t>
      </w:r>
    </w:p>
    <w:p>
      <w:pPr>
        <w:jc w:val="left"/>
      </w:pPr>
      <w:r>
        <w:t>Wenn Sie einen Verdachtsmoment bemerken:</w:t>
      </w:r>
    </w:p>
    <w:p>
      <w:pPr>
        <w:pStyle w:val="ListNumber"/>
      </w:pPr>
      <w:r>
        <w:rPr>
          <w:b/>
        </w:rPr>
        <w:t>Sofort stoppen:</w:t>
      </w:r>
      <w:r>
        <w:t xml:space="preserve"> Keine Transaktionen durchführen oder Verträge unterzeichnen.</w:t>
      </w:r>
    </w:p>
    <w:p>
      <w:pPr>
        <w:pStyle w:val="ListNumber"/>
      </w:pPr>
      <w:r>
        <w:rPr>
          <w:b/>
        </w:rPr>
        <w:t>Intern melden:</w:t>
      </w:r>
      <w:r>
        <w:t xml:space="preserve"> Sofort an Geldwäschebeauftragten Thomas Eckhardt wenden (intern: Durchwahl -291; E-Mail: t.eckhardt@musterholding.de).</w:t>
      </w:r>
    </w:p>
    <w:p>
      <w:pPr>
        <w:pStyle w:val="ListNumber"/>
      </w:pPr>
      <w:r>
        <w:rPr>
          <w:b/>
        </w:rPr>
        <w:t>Nicht mit dem Kunden reden:</w:t>
      </w:r>
      <w:r>
        <w:t xml:space="preserve"> Kein Hinweis, dass eine Prüfung läuft (§ 47 GwG!).</w:t>
      </w:r>
    </w:p>
    <w:p>
      <w:pPr>
        <w:pStyle w:val="ListNumber"/>
      </w:pPr>
      <w:r>
        <w:rPr>
          <w:b/>
        </w:rPr>
        <w:t>GwB entscheidet:</w:t>
      </w:r>
      <w:r>
        <w:t xml:space="preserve"> Ob eine Verdachtsmeldung an die FIU erstattet wird.</w:t>
      </w:r>
    </w:p>
    <w:p>
      <w:pPr>
        <w:pStyle w:val="ListNumber"/>
      </w:pPr>
      <w:r>
        <w:rPr>
          <w:b/>
        </w:rPr>
        <w:t>Nicht eigenständig handeln:</w:t>
      </w:r>
      <w:r>
        <w:t xml:space="preserve"> Nie selbst eine Verdachtsmeldung einreichen oder die Behörden anrufen — das ist ausschließlich Aufgabe des GwB.</w:t>
      </w:r>
    </w:p>
    <w:p>
      <w:pPr>
        <w:pStyle w:val="Heading3"/>
      </w:pPr>
      <w:r>
        <w:rPr>
          <w:rFonts w:ascii="Times New Roman" w:hAnsi="Times New Roman"/>
        </w:rPr>
        <w:t>5.2 Das Vertraulichkeitsgebot (§ 47 GwG)</w:t>
      </w:r>
    </w:p>
    <w:p>
      <w:pPr>
        <w:jc w:val="left"/>
      </w:pPr>
      <w:r>
        <w:t xml:space="preserve">Wenn eine Verdachtsmeldung erstattet wird oder ein Prüfverfahren läuft, </w:t>
      </w:r>
      <w:r>
        <w:rPr>
          <w:b/>
        </w:rPr>
        <w:t>darf niemand</w:t>
      </w:r>
      <w:r>
        <w:t xml:space="preserve"> den betroffenen Kunden darüber informieren. Das gilt ausnahmslos, auch wenn der Kunde fragt, warum eine Zahlung nicht bearbeitet wird. Erlaubte Formulierung:</w:t>
      </w:r>
    </w:p>
    <w:p>
      <w:pPr>
        <w:ind w:left="567"/>
      </w:pPr>
      <w:r>
        <w:rPr>
          <w:i/>
        </w:rPr>
        <w:t>"Wir befinden uns gerade in einem regulatorischen Prüfprozess. Wir melden uns so bald wie möglich."</w:t>
      </w:r>
    </w:p>
    <w:p>
      <w:pPr>
        <w:jc w:val="left"/>
      </w:pPr>
      <w:r>
        <w:rPr>
          <w:b/>
        </w:rPr>
        <w:t>Nicht erlaubt:</w:t>
      </w:r>
    </w:p>
    <w:p>
      <w:pPr>
        <w:pStyle w:val="ListBullet"/>
      </w:pPr>
      <w:r>
        <w:t>"Wir haben Sie bei der FIU gemeldet."</w:t>
      </w:r>
    </w:p>
    <w:p>
      <w:pPr>
        <w:pStyle w:val="ListBullet"/>
      </w:pPr>
      <w:r>
        <w:t>"Die Compliance-Abteilung prüft Sie wegen Geldwäsche."</w:t>
      </w:r>
    </w:p>
    <w:p>
      <w:pPr>
        <w:pStyle w:val="ListBullet"/>
      </w:pPr>
      <w:r>
        <w:t>Jede Andeutung des Verdachts.</w:t>
      </w:r>
    </w:p>
    <w:p>
      <w:pPr>
        <w:jc w:val="left"/>
      </w:pPr>
      <w:r>
        <w:t>Ein Verstoß ist bußgeldbewehrt und kann die laufende Ermittlung gefährden.</w:t>
      </w:r>
    </w:p>
    <w:p/>
    <w:p>
      <w:pPr>
        <w:pStyle w:val="Heading2"/>
      </w:pPr>
      <w:r>
        <w:rPr>
          <w:rFonts w:ascii="Times New Roman" w:hAnsi="Times New Roman"/>
        </w:rPr>
        <w:t>Modul 6: Unser aktueller Fall (Fallstudie anonymisiert)</w:t>
      </w:r>
    </w:p>
    <w:p>
      <w:pPr>
        <w:jc w:val="left"/>
      </w:pPr>
      <w:r>
        <w:t>Zur Veranschaulichung wird ein aktueller, vereinfacht anonymisierter Fall besprochen:</w:t>
      </w:r>
    </w:p>
    <w:p>
      <w:pPr>
        <w:jc w:val="left"/>
      </w:pPr>
      <w:r>
        <w:rPr>
          <w:b/>
        </w:rPr>
        <w:t>Ausgangslage:</w:t>
      </w:r>
      <w:r>
        <w:t xml:space="preserve"> Ein neuer Distributor aus Südosteuropa (ca. 2,4 Mio. EUR Jahresvolumen) hat mehrere Red Flags ausgelöst: unklarer UBO (Offshore-Holding ohne benennte natürliche Person), Drittzahlung von einer Drittgesellschaft aus Malta, PEP-ähnlicher Treffer beim Geschäftsführer. Trotzdem drängte der Vertrieb auf schnelle Freigabe.</w:t>
      </w:r>
    </w:p>
    <w:p>
      <w:pPr>
        <w:jc w:val="left"/>
      </w:pPr>
      <w:r>
        <w:rPr>
          <w:b/>
        </w:rPr>
        <w:t>Was haben wir richtig gemacht:</w:t>
      </w:r>
    </w:p>
    <w:p>
      <w:pPr>
        <w:pStyle w:val="ListBullet"/>
      </w:pPr>
      <w:r>
        <w:t>Transaktionsstopp sofort nach Drittzahlungs-Alert</w:t>
      </w:r>
    </w:p>
    <w:p>
      <w:pPr>
        <w:pStyle w:val="ListBullet"/>
      </w:pPr>
      <w:r>
        <w:t>Eskalation an GwB und GF</w:t>
      </w:r>
    </w:p>
    <w:p>
      <w:pPr>
        <w:pStyle w:val="ListBullet"/>
      </w:pPr>
      <w:r>
        <w:t>Externe Rechtsberatung eingeschaltet</w:t>
      </w:r>
    </w:p>
    <w:p>
      <w:pPr>
        <w:pStyle w:val="ListBullet"/>
      </w:pPr>
      <w:r>
        <w:t>Verdachtsmeldung erstattet (nach gründlicher Prüfung)</w:t>
      </w:r>
    </w:p>
    <w:p>
      <w:pPr>
        <w:jc w:val="left"/>
      </w:pPr>
      <w:r>
        <w:rPr>
          <w:b/>
        </w:rPr>
        <w:t>Was hätten wir früher tun können:</w:t>
      </w:r>
    </w:p>
    <w:p>
      <w:pPr>
        <w:pStyle w:val="ListBullet"/>
      </w:pPr>
      <w:r>
        <w:t>Screening und UBO-Prüfung schon vor der ersten Zahlung abschließen</w:t>
      </w:r>
    </w:p>
    <w:p>
      <w:pPr>
        <w:pStyle w:val="ListBullet"/>
      </w:pPr>
      <w:r>
        <w:t>Keine Vorauszahlungen vor abgeschlossenem KYC</w:t>
      </w:r>
    </w:p>
    <w:p>
      <w:pPr>
        <w:pStyle w:val="ListBullet"/>
      </w:pPr>
      <w:r>
        <w:t>Vertrieb stärker auf Meldepflichten hinweisen</w:t>
      </w:r>
    </w:p>
    <w:p>
      <w:pPr>
        <w:jc w:val="left"/>
      </w:pPr>
      <w:r>
        <w:rPr>
          <w:b/>
        </w:rPr>
        <w:t>Prüfziel:</w:t>
      </w:r>
      <w:r>
        <w:t xml:space="preserve"> AML-Compliance ist keine Behinderung des Vertriebs — sie schützt das Unternehmen vor erheblichen rechtlichen und reputativen Schäden.</w:t>
      </w:r>
    </w:p>
    <w:p/>
    <w:p>
      <w:pPr>
        <w:pStyle w:val="Heading2"/>
      </w:pPr>
      <w:r>
        <w:rPr>
          <w:rFonts w:ascii="Times New Roman" w:hAnsi="Times New Roman"/>
        </w:rPr>
        <w:t>Abschluss: Wissenstest (5 Fragen)</w:t>
      </w:r>
    </w:p>
    <w:p>
      <w:pPr>
        <w:pStyle w:val="ListNumber"/>
      </w:pPr>
      <w:r>
        <w:t>Ab welchem Betrag einer Barzahlung gelten für uns als Güterhändler besondere Sorgfaltspflichten?</w:t>
      </w:r>
    </w:p>
    <w:p>
      <w:pPr>
        <w:jc w:val="left"/>
      </w:pPr>
      <w:r>
        <w:rPr>
          <w:i/>
        </w:rPr>
        <w:t>(a) 1.000 EUR (b) 5.000 EUR (c) 10.000 EUR (d) 15.000 EUR)</w:t>
      </w:r>
    </w:p>
    <w:p>
      <w:pPr>
        <w:pStyle w:val="ListNumber"/>
      </w:pPr>
      <w:r>
        <w:t>Was ist ein UBO?</w:t>
      </w:r>
    </w:p>
    <w:p>
      <w:pPr>
        <w:jc w:val="left"/>
      </w:pPr>
      <w:r>
        <w:rPr>
          <w:i/>
        </w:rPr>
        <w:t>(a) Eine EU-Behörde (b) Die natürliche Person, die ein Unternehmen letztlich kontrolliert (c) Der Unternehmensberater (d) Eine Offshore-Gesellschaft)</w:t>
      </w:r>
    </w:p>
    <w:p>
      <w:pPr>
        <w:pStyle w:val="ListNumber"/>
      </w:pPr>
      <w:r>
        <w:t>Was dürfen Sie einem Kunden NICHT sagen, wenn eine Verdachtsmeldung läuft?</w:t>
      </w:r>
    </w:p>
    <w:p>
      <w:pPr>
        <w:jc w:val="left"/>
      </w:pPr>
      <w:r>
        <w:rPr>
          <w:i/>
        </w:rPr>
        <w:t>(a) "Wir rufen Sie zurück." (b) "Wir befinden uns in einem regulatorischen Prüfprozess." (c) "Wir haben Sie bei der FIU gemeldet." (d) "Bitte haben Sie etwas Geduld.")</w:t>
      </w:r>
    </w:p>
    <w:p>
      <w:pPr>
        <w:pStyle w:val="ListNumber"/>
      </w:pPr>
      <w:r>
        <w:t>Was ist eine Drittzahlung?</w:t>
      </w:r>
    </w:p>
    <w:p>
      <w:pPr>
        <w:jc w:val="left"/>
      </w:pPr>
      <w:r>
        <w:rPr>
          <w:i/>
        </w:rPr>
        <w:t>(a) Die dritte Zahlung in einer Reihe (b) Eine Zahlung von jemand anderem als dem Vertragspartner (c) Eine Zahlung über 300 EUR (d) Eine Zahlung an Behörden)</w:t>
      </w:r>
    </w:p>
    <w:p>
      <w:pPr>
        <w:pStyle w:val="ListNumber"/>
      </w:pPr>
      <w:r>
        <w:t>An wen melden Sie intern einen Geldwäsche-Verdacht?</w:t>
      </w:r>
    </w:p>
    <w:p>
      <w:pPr>
        <w:jc w:val="left"/>
      </w:pPr>
      <w:r>
        <w:rPr>
          <w:i/>
        </w:rPr>
        <w:t>(a) Direkt an die BaFin (b) An den Vertriebsleiter (c) An den Geldwäschebeauftragten (d) An den Betriebsrat)</w:t>
      </w:r>
    </w:p>
    <w:p>
      <w:pPr>
        <w:jc w:val="left"/>
      </w:pPr>
      <w:r>
        <w:rPr>
          <w:i/>
        </w:rPr>
        <w:t>(Antworten: 1c, 2b, 3c, 4b, 5c)</w:t>
      </w:r>
    </w:p>
    <w:p/>
    <w:p>
      <w:pPr>
        <w:jc w:val="left"/>
      </w:pPr>
      <w:r>
        <w:rPr>
          <w:b/>
        </w:rPr>
        <w:t>Teilnahmenachweis:</w:t>
      </w:r>
      <w:r>
        <w:t xml:space="preserve"> Alle Teilnehmer bestätigen mit Unterschrift, die Schulung absolviert und verstanden zu haben (Teilnehmerliste Anlage zur Schulungsdokumentation).</w:t>
      </w:r>
    </w:p>
    <w:p/>
    <w:p>
      <w:pPr>
        <w:jc w:val="left"/>
      </w:pPr>
      <w:r>
        <w:rPr>
          <w:i/>
        </w:rPr>
        <w:t>Dokument-Nr.: SCHULUNG-MH-2026-02 — Musterholding GmbH / Geldwäschebeauftragter</w:t>
      </w:r>
    </w:p>
    <w:p>
      <w:pPr>
        <w:jc w:val="left"/>
      </w:pPr>
      <w:r>
        <w:rPr>
          <w:i/>
        </w:rPr>
        <w:t>Aufbewahrung: 5 Jahre (§ 8 Abs. 4 GwG)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